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44E57" w14:textId="77777777" w:rsidR="00026994" w:rsidRDefault="00026994" w:rsidP="00026994">
      <w:pPr>
        <w:jc w:val="center"/>
        <w:rPr>
          <w:rFonts w:ascii="Arial" w:hAnsi="Arial" w:cs="Arial"/>
          <w:sz w:val="22"/>
          <w:szCs w:val="22"/>
        </w:rPr>
      </w:pPr>
    </w:p>
    <w:p w14:paraId="4CFE502B" w14:textId="77777777" w:rsidR="005B2AB3" w:rsidRDefault="005B2AB3" w:rsidP="00026994">
      <w:pPr>
        <w:jc w:val="center"/>
        <w:rPr>
          <w:rFonts w:ascii="Arial" w:hAnsi="Arial" w:cs="Arial"/>
          <w:sz w:val="22"/>
          <w:szCs w:val="22"/>
        </w:rPr>
      </w:pPr>
    </w:p>
    <w:p w14:paraId="15256526" w14:textId="77777777" w:rsidR="003E012D" w:rsidRPr="003E012D" w:rsidRDefault="003E012D" w:rsidP="00026994">
      <w:pPr>
        <w:jc w:val="center"/>
        <w:rPr>
          <w:rFonts w:ascii="Arial" w:hAnsi="Arial" w:cs="Arial"/>
          <w:sz w:val="22"/>
          <w:szCs w:val="22"/>
        </w:rPr>
      </w:pPr>
    </w:p>
    <w:p w14:paraId="747E36BF" w14:textId="60141A73" w:rsidR="00026994" w:rsidRPr="003E012D" w:rsidRDefault="00026994" w:rsidP="00026994">
      <w:pPr>
        <w:jc w:val="center"/>
        <w:rPr>
          <w:rFonts w:ascii="Arial" w:hAnsi="Arial" w:cs="Arial"/>
          <w:sz w:val="22"/>
          <w:szCs w:val="22"/>
        </w:rPr>
      </w:pPr>
    </w:p>
    <w:p w14:paraId="290720BE" w14:textId="7E478BF5" w:rsidR="00EF66A2" w:rsidRPr="003E012D" w:rsidRDefault="009D6CE4" w:rsidP="00EF66A2">
      <w:pPr>
        <w:rPr>
          <w:rFonts w:ascii="Arial" w:hAnsi="Arial" w:cs="Arial"/>
          <w:sz w:val="22"/>
          <w:szCs w:val="22"/>
        </w:rPr>
      </w:pPr>
      <w:r w:rsidRPr="003E012D">
        <w:rPr>
          <w:rFonts w:ascii="Arial" w:hAnsi="Arial" w:cs="Arial"/>
          <w:noProof/>
          <w:sz w:val="22"/>
          <w:szCs w:val="22"/>
        </w:rPr>
        <w:drawing>
          <wp:anchor distT="0" distB="0" distL="114300" distR="114300" simplePos="0" relativeHeight="251657216" behindDoc="0" locked="0" layoutInCell="1" allowOverlap="1" wp14:anchorId="719F6B61" wp14:editId="771F14DF">
            <wp:simplePos x="0" y="0"/>
            <wp:positionH relativeFrom="margin">
              <wp:align>center</wp:align>
            </wp:positionH>
            <wp:positionV relativeFrom="paragraph">
              <wp:posOffset>9525</wp:posOffset>
            </wp:positionV>
            <wp:extent cx="3648075" cy="1647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1647825"/>
                    </a:xfrm>
                    <a:prstGeom prst="rect">
                      <a:avLst/>
                    </a:prstGeom>
                    <a:noFill/>
                    <a:ln>
                      <a:noFill/>
                    </a:ln>
                  </pic:spPr>
                </pic:pic>
              </a:graphicData>
            </a:graphic>
          </wp:anchor>
        </w:drawing>
      </w:r>
    </w:p>
    <w:p w14:paraId="117FED79" w14:textId="77777777" w:rsidR="00EF66A2" w:rsidRPr="003E012D" w:rsidRDefault="00EF66A2" w:rsidP="00EF66A2">
      <w:pPr>
        <w:rPr>
          <w:rFonts w:ascii="Arial" w:hAnsi="Arial" w:cs="Arial"/>
          <w:sz w:val="22"/>
          <w:szCs w:val="22"/>
        </w:rPr>
      </w:pPr>
    </w:p>
    <w:p w14:paraId="73C5E344" w14:textId="77777777" w:rsidR="00EF66A2" w:rsidRPr="003E012D" w:rsidRDefault="00EF66A2" w:rsidP="00EF66A2">
      <w:pPr>
        <w:rPr>
          <w:rFonts w:ascii="Arial" w:hAnsi="Arial" w:cs="Arial"/>
          <w:sz w:val="22"/>
          <w:szCs w:val="22"/>
        </w:rPr>
      </w:pPr>
    </w:p>
    <w:p w14:paraId="09AC9D45" w14:textId="7CF23A4B" w:rsidR="003E012D" w:rsidRDefault="003E012D" w:rsidP="00EF66A2">
      <w:pPr>
        <w:rPr>
          <w:rFonts w:ascii="Arial" w:hAnsi="Arial" w:cs="Arial"/>
          <w:sz w:val="22"/>
          <w:szCs w:val="22"/>
        </w:rPr>
      </w:pPr>
    </w:p>
    <w:p w14:paraId="73B337D8" w14:textId="3D724930" w:rsidR="00026994" w:rsidRPr="003E012D" w:rsidRDefault="003E012D" w:rsidP="003E012D">
      <w:pPr>
        <w:tabs>
          <w:tab w:val="center" w:pos="794"/>
        </w:tabs>
        <w:rPr>
          <w:rFonts w:ascii="Arial" w:hAnsi="Arial" w:cs="Arial"/>
          <w:sz w:val="22"/>
          <w:szCs w:val="22"/>
        </w:rPr>
      </w:pPr>
      <w:r>
        <w:rPr>
          <w:rFonts w:ascii="Arial" w:hAnsi="Arial" w:cs="Arial"/>
          <w:sz w:val="22"/>
          <w:szCs w:val="22"/>
        </w:rPr>
        <w:tab/>
      </w:r>
      <w:r w:rsidR="00EF66A2" w:rsidRPr="003E012D">
        <w:rPr>
          <w:rFonts w:ascii="Arial" w:hAnsi="Arial" w:cs="Arial"/>
          <w:sz w:val="22"/>
          <w:szCs w:val="22"/>
        </w:rPr>
        <w:br w:type="textWrapping" w:clear="all"/>
      </w:r>
    </w:p>
    <w:p w14:paraId="3E1A1365" w14:textId="77777777" w:rsidR="00026994" w:rsidRDefault="00026994" w:rsidP="00026994">
      <w:pPr>
        <w:jc w:val="center"/>
        <w:rPr>
          <w:rFonts w:ascii="Arial" w:hAnsi="Arial" w:cs="Arial"/>
          <w:sz w:val="22"/>
          <w:szCs w:val="22"/>
        </w:rPr>
      </w:pPr>
    </w:p>
    <w:p w14:paraId="53565B9C" w14:textId="77777777" w:rsidR="005B2AB3" w:rsidRDefault="005B2AB3" w:rsidP="00026994">
      <w:pPr>
        <w:jc w:val="center"/>
        <w:rPr>
          <w:rFonts w:ascii="Arial" w:hAnsi="Arial" w:cs="Arial"/>
          <w:sz w:val="22"/>
          <w:szCs w:val="22"/>
        </w:rPr>
      </w:pPr>
    </w:p>
    <w:p w14:paraId="33054F48" w14:textId="77777777" w:rsidR="005B2AB3" w:rsidRPr="003E012D" w:rsidRDefault="005B2AB3" w:rsidP="00026994">
      <w:pPr>
        <w:jc w:val="center"/>
        <w:rPr>
          <w:rFonts w:ascii="Arial" w:hAnsi="Arial" w:cs="Arial"/>
          <w:sz w:val="22"/>
          <w:szCs w:val="22"/>
        </w:rPr>
      </w:pPr>
    </w:p>
    <w:p w14:paraId="0966CD6E" w14:textId="77777777" w:rsidR="00026994" w:rsidRDefault="00026994" w:rsidP="00026994">
      <w:pPr>
        <w:jc w:val="center"/>
        <w:rPr>
          <w:rFonts w:ascii="Arial" w:hAnsi="Arial" w:cs="Arial"/>
          <w:sz w:val="22"/>
          <w:szCs w:val="22"/>
        </w:rPr>
      </w:pPr>
    </w:p>
    <w:p w14:paraId="6223D610" w14:textId="77777777" w:rsidR="00AE186D" w:rsidRPr="000E2BB9" w:rsidRDefault="00AE186D" w:rsidP="00AE186D">
      <w:pPr>
        <w:jc w:val="center"/>
        <w:rPr>
          <w:rFonts w:ascii="Arial" w:hAnsi="Arial" w:cs="Arial"/>
          <w:b/>
          <w:sz w:val="52"/>
          <w:szCs w:val="52"/>
        </w:rPr>
      </w:pPr>
      <w:r>
        <w:rPr>
          <w:rFonts w:ascii="Arial" w:hAnsi="Arial" w:cs="Arial"/>
          <w:b/>
          <w:sz w:val="52"/>
          <w:szCs w:val="52"/>
        </w:rPr>
        <w:t xml:space="preserve">Stirling </w:t>
      </w:r>
    </w:p>
    <w:p w14:paraId="13D80599" w14:textId="77777777" w:rsidR="00AE186D" w:rsidRDefault="00AE186D" w:rsidP="00AE186D">
      <w:pPr>
        <w:jc w:val="center"/>
        <w:rPr>
          <w:rFonts w:ascii="Arial" w:hAnsi="Arial" w:cs="Arial"/>
          <w:b/>
          <w:sz w:val="28"/>
          <w:szCs w:val="28"/>
        </w:rPr>
      </w:pPr>
    </w:p>
    <w:p w14:paraId="615B73A1" w14:textId="77777777" w:rsidR="00AE186D" w:rsidRDefault="00AE186D" w:rsidP="00AE186D">
      <w:pPr>
        <w:jc w:val="center"/>
        <w:rPr>
          <w:rFonts w:ascii="Arial" w:hAnsi="Arial" w:cs="Arial"/>
          <w:b/>
          <w:sz w:val="28"/>
          <w:szCs w:val="28"/>
        </w:rPr>
      </w:pPr>
    </w:p>
    <w:p w14:paraId="121BE610" w14:textId="1AF6716A" w:rsidR="005B2AB3" w:rsidRDefault="00AE186D" w:rsidP="005B2AB3">
      <w:pPr>
        <w:jc w:val="center"/>
        <w:rPr>
          <w:rFonts w:ascii="Arial" w:hAnsi="Arial" w:cs="Arial"/>
          <w:b/>
          <w:sz w:val="56"/>
          <w:szCs w:val="56"/>
        </w:rPr>
      </w:pPr>
      <w:r w:rsidRPr="000E2BB9">
        <w:rPr>
          <w:rFonts w:ascii="Arial" w:hAnsi="Arial" w:cs="Arial"/>
          <w:b/>
          <w:sz w:val="56"/>
          <w:szCs w:val="56"/>
        </w:rPr>
        <w:t xml:space="preserve">Local </w:t>
      </w:r>
      <w:r>
        <w:rPr>
          <w:rFonts w:ascii="Arial" w:hAnsi="Arial" w:cs="Arial"/>
          <w:b/>
          <w:sz w:val="56"/>
          <w:szCs w:val="56"/>
        </w:rPr>
        <w:t xml:space="preserve">Fire and Rescue </w:t>
      </w:r>
      <w:r w:rsidRPr="000E2BB9">
        <w:rPr>
          <w:rFonts w:ascii="Arial" w:hAnsi="Arial" w:cs="Arial"/>
          <w:b/>
          <w:sz w:val="56"/>
          <w:szCs w:val="56"/>
        </w:rPr>
        <w:t>Plan</w:t>
      </w:r>
      <w:r>
        <w:rPr>
          <w:rFonts w:ascii="Arial" w:hAnsi="Arial" w:cs="Arial"/>
          <w:b/>
          <w:sz w:val="56"/>
          <w:szCs w:val="56"/>
        </w:rPr>
        <w:t xml:space="preserve"> </w:t>
      </w:r>
      <w:r w:rsidR="005B2AB3">
        <w:rPr>
          <w:rFonts w:ascii="Arial" w:hAnsi="Arial" w:cs="Arial"/>
          <w:b/>
          <w:sz w:val="56"/>
          <w:szCs w:val="56"/>
        </w:rPr>
        <w:t>2014-17 Review Report</w:t>
      </w:r>
    </w:p>
    <w:p w14:paraId="629A1A11" w14:textId="5355BB12" w:rsidR="00566D28" w:rsidRDefault="00853A27" w:rsidP="005B2AB3">
      <w:pPr>
        <w:jc w:val="center"/>
        <w:rPr>
          <w:rFonts w:ascii="Arial" w:hAnsi="Arial" w:cs="Arial"/>
          <w:sz w:val="22"/>
          <w:szCs w:val="22"/>
        </w:rPr>
      </w:pPr>
      <w:r w:rsidRPr="003E012D">
        <w:rPr>
          <w:rFonts w:ascii="Arial" w:hAnsi="Arial" w:cs="Arial"/>
          <w:noProof/>
          <w:sz w:val="22"/>
          <w:szCs w:val="22"/>
        </w:rPr>
        <mc:AlternateContent>
          <mc:Choice Requires="wps">
            <w:drawing>
              <wp:anchor distT="0" distB="0" distL="114300" distR="114300" simplePos="0" relativeHeight="251659264" behindDoc="0" locked="0" layoutInCell="1" allowOverlap="1" wp14:anchorId="6452F506" wp14:editId="479DB62F">
                <wp:simplePos x="0" y="0"/>
                <wp:positionH relativeFrom="column">
                  <wp:posOffset>-132715</wp:posOffset>
                </wp:positionH>
                <wp:positionV relativeFrom="paragraph">
                  <wp:posOffset>1960880</wp:posOffset>
                </wp:positionV>
                <wp:extent cx="62960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29602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2A0EF" id="Rectangle 3" o:spid="_x0000_s1026" style="position:absolute;margin-left:-10.45pt;margin-top:154.4pt;width:495.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" fillcolor="white [3212]" strokecolor="white [3212]" strokeweight="2pt"/>
            </w:pict>
          </mc:Fallback>
        </mc:AlternateContent>
      </w:r>
      <w:r w:rsidR="00026994" w:rsidRPr="003E012D">
        <w:rPr>
          <w:rFonts w:ascii="Arial" w:hAnsi="Arial" w:cs="Arial"/>
          <w:sz w:val="22"/>
          <w:szCs w:val="22"/>
        </w:rPr>
        <w:br w:type="page"/>
      </w:r>
    </w:p>
    <w:p w14:paraId="66A16674" w14:textId="4CE6DDC9" w:rsidR="00026994" w:rsidRDefault="00026994" w:rsidP="00566D28">
      <w:pPr>
        <w:rPr>
          <w:rFonts w:ascii="Arial" w:hAnsi="Arial" w:cs="Arial"/>
          <w:b/>
          <w:color w:val="A6192E"/>
          <w:sz w:val="28"/>
          <w:szCs w:val="28"/>
        </w:rPr>
      </w:pPr>
      <w:r w:rsidRPr="00175EFC">
        <w:rPr>
          <w:rFonts w:ascii="Arial" w:hAnsi="Arial" w:cs="Arial"/>
          <w:b/>
          <w:color w:val="A6192E"/>
          <w:sz w:val="28"/>
          <w:szCs w:val="28"/>
        </w:rPr>
        <w:lastRenderedPageBreak/>
        <w:t>Contents</w:t>
      </w:r>
    </w:p>
    <w:p w14:paraId="4FD7392B" w14:textId="77777777" w:rsidR="00566D28" w:rsidRDefault="00566D28" w:rsidP="00566D28">
      <w:pPr>
        <w:rPr>
          <w:rFonts w:ascii="Arial" w:hAnsi="Arial" w:cs="Arial"/>
          <w:sz w:val="22"/>
          <w:szCs w:val="22"/>
        </w:rPr>
      </w:pPr>
    </w:p>
    <w:p w14:paraId="4B508519" w14:textId="06C108F2" w:rsidR="00566D28" w:rsidRPr="00566D28" w:rsidRDefault="00DB700C" w:rsidP="00566D28">
      <w:pPr>
        <w:autoSpaceDE w:val="0"/>
        <w:autoSpaceDN w:val="0"/>
        <w:adjustRightInd w:val="0"/>
        <w:jc w:val="both"/>
        <w:rPr>
          <w:rFonts w:ascii="Arial" w:hAnsi="Arial" w:cs="Arial"/>
          <w:sz w:val="22"/>
          <w:szCs w:val="22"/>
        </w:rPr>
      </w:pPr>
      <w:r>
        <w:rPr>
          <w:rFonts w:ascii="Arial" w:hAnsi="Arial" w:cs="Arial"/>
          <w:sz w:val="22"/>
          <w:szCs w:val="22"/>
        </w:rPr>
        <w:t>Introduction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C1A35">
        <w:rPr>
          <w:rFonts w:ascii="Arial" w:hAnsi="Arial" w:cs="Arial"/>
          <w:sz w:val="22"/>
          <w:szCs w:val="22"/>
        </w:rPr>
        <w:t>2</w:t>
      </w:r>
    </w:p>
    <w:p w14:paraId="6B0EE9B2" w14:textId="77777777" w:rsidR="00566D28" w:rsidRPr="00566D28" w:rsidRDefault="00566D28" w:rsidP="00566D28">
      <w:pPr>
        <w:autoSpaceDE w:val="0"/>
        <w:autoSpaceDN w:val="0"/>
        <w:adjustRightInd w:val="0"/>
        <w:jc w:val="both"/>
        <w:rPr>
          <w:rFonts w:ascii="Arial" w:hAnsi="Arial" w:cs="Arial"/>
          <w:sz w:val="22"/>
          <w:szCs w:val="22"/>
        </w:rPr>
      </w:pPr>
    </w:p>
    <w:p w14:paraId="362834CC" w14:textId="36410AAB" w:rsidR="00566D28" w:rsidRPr="00566D28" w:rsidRDefault="001C1A35" w:rsidP="00566D28">
      <w:pPr>
        <w:autoSpaceDE w:val="0"/>
        <w:autoSpaceDN w:val="0"/>
        <w:adjustRightInd w:val="0"/>
        <w:jc w:val="both"/>
        <w:rPr>
          <w:rFonts w:ascii="Arial" w:hAnsi="Arial" w:cs="Arial"/>
          <w:sz w:val="22"/>
          <w:szCs w:val="22"/>
        </w:rPr>
      </w:pPr>
      <w:r>
        <w:rPr>
          <w:rFonts w:ascii="Arial" w:hAnsi="Arial" w:cs="Arial"/>
          <w:sz w:val="22"/>
          <w:szCs w:val="22"/>
        </w:rPr>
        <w:t xml:space="preserve">Performance Data – what the figures told us </w:t>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AA4E5C">
        <w:rPr>
          <w:rFonts w:ascii="Arial" w:hAnsi="Arial" w:cs="Arial"/>
          <w:sz w:val="22"/>
          <w:szCs w:val="22"/>
        </w:rPr>
        <w:t>2</w:t>
      </w:r>
    </w:p>
    <w:p w14:paraId="3F7E3593" w14:textId="77777777" w:rsidR="00566D28" w:rsidRPr="00566D28" w:rsidRDefault="00566D28" w:rsidP="00566D28">
      <w:pPr>
        <w:autoSpaceDE w:val="0"/>
        <w:autoSpaceDN w:val="0"/>
        <w:adjustRightInd w:val="0"/>
        <w:jc w:val="both"/>
        <w:rPr>
          <w:rFonts w:ascii="Arial" w:hAnsi="Arial" w:cs="Arial"/>
          <w:sz w:val="22"/>
          <w:szCs w:val="22"/>
        </w:rPr>
      </w:pPr>
    </w:p>
    <w:p w14:paraId="67DA1C78" w14:textId="3E52E38B" w:rsidR="00566D28" w:rsidRPr="00566D28" w:rsidRDefault="00A71929" w:rsidP="00566D28">
      <w:pPr>
        <w:autoSpaceDE w:val="0"/>
        <w:autoSpaceDN w:val="0"/>
        <w:adjustRightInd w:val="0"/>
        <w:jc w:val="both"/>
        <w:rPr>
          <w:rFonts w:ascii="Arial" w:hAnsi="Arial" w:cs="Arial"/>
          <w:sz w:val="22"/>
          <w:szCs w:val="22"/>
        </w:rPr>
      </w:pPr>
      <w:r>
        <w:rPr>
          <w:rFonts w:ascii="Arial" w:hAnsi="Arial" w:cs="Arial"/>
          <w:sz w:val="22"/>
          <w:szCs w:val="22"/>
        </w:rPr>
        <w:t>Reduction in Accidental Dwelling Fires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4E5C">
        <w:rPr>
          <w:rFonts w:ascii="Arial" w:hAnsi="Arial" w:cs="Arial"/>
          <w:sz w:val="22"/>
          <w:szCs w:val="22"/>
        </w:rPr>
        <w:t>4</w:t>
      </w:r>
    </w:p>
    <w:p w14:paraId="35832028" w14:textId="77777777" w:rsidR="00566D28" w:rsidRPr="00566D28" w:rsidRDefault="00566D28" w:rsidP="00566D28">
      <w:pPr>
        <w:autoSpaceDE w:val="0"/>
        <w:autoSpaceDN w:val="0"/>
        <w:adjustRightInd w:val="0"/>
        <w:jc w:val="both"/>
        <w:rPr>
          <w:rFonts w:ascii="Arial" w:hAnsi="Arial" w:cs="Arial"/>
          <w:sz w:val="22"/>
          <w:szCs w:val="22"/>
        </w:rPr>
      </w:pPr>
    </w:p>
    <w:p w14:paraId="02755BFA" w14:textId="74A41C9A" w:rsidR="00566D28" w:rsidRPr="00566D28" w:rsidRDefault="00AE186D" w:rsidP="00566D28">
      <w:pPr>
        <w:autoSpaceDE w:val="0"/>
        <w:autoSpaceDN w:val="0"/>
        <w:adjustRightInd w:val="0"/>
        <w:jc w:val="both"/>
        <w:rPr>
          <w:rFonts w:ascii="Arial" w:hAnsi="Arial" w:cs="Arial"/>
          <w:sz w:val="22"/>
          <w:szCs w:val="22"/>
        </w:rPr>
      </w:pPr>
      <w:r>
        <w:rPr>
          <w:rFonts w:ascii="Arial" w:hAnsi="Arial" w:cs="Arial"/>
          <w:sz w:val="22"/>
          <w:szCs w:val="22"/>
        </w:rPr>
        <w:t xml:space="preserve">Reduction of Fire Casualties </w:t>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AA4E5C">
        <w:rPr>
          <w:rFonts w:ascii="Arial" w:hAnsi="Arial" w:cs="Arial"/>
          <w:sz w:val="22"/>
          <w:szCs w:val="22"/>
        </w:rPr>
        <w:t>5</w:t>
      </w:r>
    </w:p>
    <w:p w14:paraId="6B563732" w14:textId="77777777" w:rsidR="00566D28" w:rsidRPr="00566D28" w:rsidRDefault="00566D28" w:rsidP="00566D28">
      <w:pPr>
        <w:autoSpaceDE w:val="0"/>
        <w:autoSpaceDN w:val="0"/>
        <w:adjustRightInd w:val="0"/>
        <w:jc w:val="both"/>
        <w:rPr>
          <w:rFonts w:ascii="Arial" w:hAnsi="Arial" w:cs="Arial"/>
          <w:sz w:val="22"/>
          <w:szCs w:val="22"/>
        </w:rPr>
      </w:pPr>
    </w:p>
    <w:p w14:paraId="2C7941A2" w14:textId="6F61B4F4" w:rsidR="00AE186D" w:rsidRDefault="00AE186D" w:rsidP="00566D28">
      <w:pPr>
        <w:autoSpaceDE w:val="0"/>
        <w:autoSpaceDN w:val="0"/>
        <w:adjustRightInd w:val="0"/>
        <w:jc w:val="both"/>
        <w:rPr>
          <w:rFonts w:ascii="Arial" w:hAnsi="Arial" w:cs="Arial"/>
          <w:sz w:val="22"/>
          <w:szCs w:val="22"/>
        </w:rPr>
      </w:pPr>
      <w:r>
        <w:rPr>
          <w:rFonts w:ascii="Arial" w:hAnsi="Arial" w:cs="Arial"/>
          <w:sz w:val="22"/>
          <w:szCs w:val="22"/>
        </w:rPr>
        <w:t>Reduction in Deliberate Fires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4E5C">
        <w:rPr>
          <w:rFonts w:ascii="Arial" w:hAnsi="Arial" w:cs="Arial"/>
          <w:sz w:val="22"/>
          <w:szCs w:val="22"/>
        </w:rPr>
        <w:t>7</w:t>
      </w:r>
    </w:p>
    <w:p w14:paraId="66E8DFC0" w14:textId="77777777" w:rsidR="00AE186D" w:rsidRDefault="00AE186D" w:rsidP="00566D28">
      <w:pPr>
        <w:autoSpaceDE w:val="0"/>
        <w:autoSpaceDN w:val="0"/>
        <w:adjustRightInd w:val="0"/>
        <w:jc w:val="both"/>
        <w:rPr>
          <w:rFonts w:ascii="Arial" w:hAnsi="Arial" w:cs="Arial"/>
          <w:sz w:val="22"/>
          <w:szCs w:val="22"/>
        </w:rPr>
      </w:pPr>
    </w:p>
    <w:p w14:paraId="44F7376C" w14:textId="3496E8C7" w:rsidR="00AE186D" w:rsidRDefault="00AE186D" w:rsidP="00566D28">
      <w:pPr>
        <w:autoSpaceDE w:val="0"/>
        <w:autoSpaceDN w:val="0"/>
        <w:adjustRightInd w:val="0"/>
        <w:jc w:val="both"/>
        <w:rPr>
          <w:rFonts w:ascii="Arial" w:hAnsi="Arial" w:cs="Arial"/>
          <w:sz w:val="22"/>
          <w:szCs w:val="22"/>
        </w:rPr>
      </w:pPr>
      <w:r>
        <w:rPr>
          <w:rFonts w:ascii="Arial" w:hAnsi="Arial" w:cs="Arial"/>
          <w:sz w:val="22"/>
          <w:szCs w:val="22"/>
        </w:rPr>
        <w:t>Reduction in Non Domestic Fires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4E5C">
        <w:rPr>
          <w:rFonts w:ascii="Arial" w:hAnsi="Arial" w:cs="Arial"/>
          <w:sz w:val="22"/>
          <w:szCs w:val="22"/>
        </w:rPr>
        <w:t>8</w:t>
      </w:r>
    </w:p>
    <w:p w14:paraId="78114E47" w14:textId="77777777" w:rsidR="00AE186D" w:rsidRDefault="00AE186D" w:rsidP="00566D28">
      <w:pPr>
        <w:autoSpaceDE w:val="0"/>
        <w:autoSpaceDN w:val="0"/>
        <w:adjustRightInd w:val="0"/>
        <w:jc w:val="both"/>
        <w:rPr>
          <w:rFonts w:ascii="Arial" w:hAnsi="Arial" w:cs="Arial"/>
          <w:sz w:val="22"/>
          <w:szCs w:val="22"/>
        </w:rPr>
      </w:pPr>
    </w:p>
    <w:p w14:paraId="65906DE7" w14:textId="1932414C" w:rsidR="00566D28" w:rsidRPr="00566D28" w:rsidRDefault="00AE186D" w:rsidP="00566D28">
      <w:pPr>
        <w:autoSpaceDE w:val="0"/>
        <w:autoSpaceDN w:val="0"/>
        <w:adjustRightInd w:val="0"/>
        <w:jc w:val="both"/>
        <w:rPr>
          <w:rFonts w:ascii="Arial" w:hAnsi="Arial" w:cs="Arial"/>
          <w:sz w:val="22"/>
          <w:szCs w:val="22"/>
        </w:rPr>
      </w:pPr>
      <w:r>
        <w:rPr>
          <w:rFonts w:ascii="Arial" w:hAnsi="Arial" w:cs="Arial"/>
          <w:sz w:val="22"/>
          <w:szCs w:val="22"/>
        </w:rPr>
        <w:t>Reduction in Casualties from Special Services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4E5C">
        <w:rPr>
          <w:rFonts w:ascii="Arial" w:hAnsi="Arial" w:cs="Arial"/>
          <w:sz w:val="22"/>
          <w:szCs w:val="22"/>
        </w:rPr>
        <w:t>9</w:t>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p>
    <w:p w14:paraId="556681BC" w14:textId="67A3E20D" w:rsidR="00566D28" w:rsidRPr="00566D28" w:rsidRDefault="00AE186D" w:rsidP="00566D28">
      <w:pPr>
        <w:autoSpaceDE w:val="0"/>
        <w:autoSpaceDN w:val="0"/>
        <w:adjustRightInd w:val="0"/>
        <w:jc w:val="both"/>
        <w:rPr>
          <w:rFonts w:ascii="Arial" w:hAnsi="Arial" w:cs="Arial"/>
          <w:sz w:val="22"/>
          <w:szCs w:val="22"/>
        </w:rPr>
      </w:pPr>
      <w:r>
        <w:rPr>
          <w:rFonts w:ascii="Arial" w:hAnsi="Arial" w:cs="Arial"/>
          <w:sz w:val="22"/>
          <w:szCs w:val="22"/>
        </w:rPr>
        <w:t>Reduction in Unwanted Fire Alarm Signals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4E5C">
        <w:rPr>
          <w:rFonts w:ascii="Arial" w:hAnsi="Arial" w:cs="Arial"/>
          <w:sz w:val="22"/>
          <w:szCs w:val="22"/>
        </w:rPr>
        <w:t>10</w:t>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r w:rsidR="00DB700C">
        <w:rPr>
          <w:rFonts w:ascii="Arial" w:hAnsi="Arial" w:cs="Arial"/>
          <w:sz w:val="22"/>
          <w:szCs w:val="22"/>
        </w:rPr>
        <w:tab/>
      </w:r>
    </w:p>
    <w:p w14:paraId="588BFD6F" w14:textId="1F19FF6D" w:rsidR="00566D28" w:rsidRPr="00566D28" w:rsidRDefault="000C0649" w:rsidP="00566D28">
      <w:pPr>
        <w:autoSpaceDE w:val="0"/>
        <w:autoSpaceDN w:val="0"/>
        <w:adjustRightInd w:val="0"/>
        <w:jc w:val="both"/>
        <w:rPr>
          <w:rFonts w:ascii="Arial" w:hAnsi="Arial" w:cs="Arial"/>
          <w:sz w:val="22"/>
          <w:szCs w:val="22"/>
        </w:rPr>
      </w:pPr>
      <w:r>
        <w:rPr>
          <w:rFonts w:ascii="Arial" w:hAnsi="Arial" w:cs="Arial"/>
          <w:sz w:val="22"/>
          <w:szCs w:val="22"/>
        </w:rPr>
        <w:t xml:space="preserve">Engagement </w:t>
      </w:r>
      <w:r>
        <w:rPr>
          <w:rFonts w:ascii="Arial" w:hAnsi="Arial" w:cs="Arial"/>
          <w:sz w:val="22"/>
          <w:szCs w:val="22"/>
        </w:rPr>
        <w:tab/>
      </w:r>
      <w:r w:rsidR="00DB700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AA4E5C">
        <w:rPr>
          <w:rFonts w:ascii="Arial" w:hAnsi="Arial" w:cs="Arial"/>
          <w:sz w:val="22"/>
          <w:szCs w:val="22"/>
        </w:rPr>
        <w:t>1</w:t>
      </w:r>
    </w:p>
    <w:p w14:paraId="0D8679FF" w14:textId="77777777" w:rsidR="00566D28" w:rsidRPr="00566D28" w:rsidRDefault="00566D28" w:rsidP="00566D28">
      <w:pPr>
        <w:autoSpaceDE w:val="0"/>
        <w:autoSpaceDN w:val="0"/>
        <w:adjustRightInd w:val="0"/>
        <w:jc w:val="both"/>
        <w:rPr>
          <w:rFonts w:ascii="Arial" w:hAnsi="Arial" w:cs="Arial"/>
          <w:sz w:val="22"/>
          <w:szCs w:val="22"/>
        </w:rPr>
      </w:pPr>
    </w:p>
    <w:p w14:paraId="7B02E9F9" w14:textId="21170CA8" w:rsidR="00566D28" w:rsidRPr="00566D28" w:rsidRDefault="000C0649" w:rsidP="00566D28">
      <w:pPr>
        <w:autoSpaceDE w:val="0"/>
        <w:autoSpaceDN w:val="0"/>
        <w:adjustRightInd w:val="0"/>
        <w:jc w:val="both"/>
        <w:rPr>
          <w:rFonts w:ascii="Arial" w:hAnsi="Arial" w:cs="Arial"/>
          <w:sz w:val="22"/>
          <w:szCs w:val="22"/>
        </w:rPr>
      </w:pPr>
      <w:r>
        <w:rPr>
          <w:rFonts w:ascii="Arial" w:hAnsi="Arial" w:cs="Arial"/>
          <w:sz w:val="22"/>
          <w:szCs w:val="22"/>
        </w:rPr>
        <w:t>Scrutiny</w:t>
      </w:r>
      <w:r w:rsidR="00566D28" w:rsidRPr="00566D28">
        <w:rPr>
          <w:rFonts w:ascii="Arial" w:hAnsi="Arial" w:cs="Arial"/>
          <w:sz w:val="22"/>
          <w:szCs w:val="22"/>
        </w:rPr>
        <w:tab/>
      </w:r>
      <w:r w:rsidR="00566D28" w:rsidRPr="00566D28">
        <w:rPr>
          <w:rFonts w:ascii="Arial" w:hAnsi="Arial" w:cs="Arial"/>
          <w:sz w:val="22"/>
          <w:szCs w:val="22"/>
        </w:rPr>
        <w:tab/>
      </w:r>
      <w:r w:rsidR="00566D28" w:rsidRPr="00566D28">
        <w:rPr>
          <w:rFonts w:ascii="Arial" w:hAnsi="Arial" w:cs="Arial"/>
          <w:sz w:val="22"/>
          <w:szCs w:val="22"/>
        </w:rPr>
        <w:tab/>
      </w:r>
      <w:r w:rsidR="00566D28" w:rsidRPr="00566D28">
        <w:rPr>
          <w:rFonts w:ascii="Arial" w:hAnsi="Arial" w:cs="Arial"/>
          <w:sz w:val="22"/>
          <w:szCs w:val="22"/>
        </w:rPr>
        <w:tab/>
      </w:r>
      <w:r w:rsidR="00566D28" w:rsidRPr="00566D28">
        <w:rPr>
          <w:rFonts w:ascii="Arial" w:hAnsi="Arial" w:cs="Arial"/>
          <w:sz w:val="22"/>
          <w:szCs w:val="22"/>
        </w:rPr>
        <w:tab/>
      </w:r>
      <w:r w:rsidR="00DB700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AA4E5C">
        <w:rPr>
          <w:rFonts w:ascii="Arial" w:hAnsi="Arial" w:cs="Arial"/>
          <w:sz w:val="22"/>
          <w:szCs w:val="22"/>
        </w:rPr>
        <w:t>1</w:t>
      </w:r>
    </w:p>
    <w:p w14:paraId="39D6FA75" w14:textId="46E50EF4" w:rsidR="00566D28" w:rsidRPr="00566D28" w:rsidRDefault="00DB700C" w:rsidP="00566D28">
      <w:pPr>
        <w:autoSpaceDE w:val="0"/>
        <w:autoSpaceDN w:val="0"/>
        <w:adjustRightInd w:val="0"/>
        <w:jc w:val="both"/>
        <w:rPr>
          <w:rFonts w:ascii="Arial" w:hAnsi="Arial" w:cs="Arial"/>
          <w:sz w:val="22"/>
          <w:szCs w:val="22"/>
        </w:rPr>
      </w:pPr>
      <w:r>
        <w:rPr>
          <w:rFonts w:ascii="Arial" w:hAnsi="Arial" w:cs="Arial"/>
          <w:sz w:val="22"/>
          <w:szCs w:val="22"/>
        </w:rPr>
        <w:tab/>
      </w:r>
    </w:p>
    <w:p w14:paraId="5DC683D9" w14:textId="0A4DB672" w:rsidR="000C0649" w:rsidRDefault="000C0649" w:rsidP="00566D28">
      <w:pPr>
        <w:rPr>
          <w:rFonts w:ascii="Arial" w:hAnsi="Arial" w:cs="Arial"/>
          <w:sz w:val="22"/>
          <w:szCs w:val="22"/>
        </w:rPr>
      </w:pPr>
      <w:r>
        <w:rPr>
          <w:rFonts w:ascii="Arial" w:hAnsi="Arial" w:cs="Arial"/>
          <w:sz w:val="22"/>
          <w:szCs w:val="22"/>
        </w:rPr>
        <w:t>Conclusion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AA4E5C">
        <w:rPr>
          <w:rFonts w:ascii="Arial" w:hAnsi="Arial" w:cs="Arial"/>
          <w:sz w:val="22"/>
          <w:szCs w:val="22"/>
        </w:rPr>
        <w:t>2</w:t>
      </w:r>
    </w:p>
    <w:p w14:paraId="206BAE88" w14:textId="77777777" w:rsidR="000C0649" w:rsidRDefault="000C0649" w:rsidP="00566D28">
      <w:pPr>
        <w:rPr>
          <w:rFonts w:ascii="Arial" w:hAnsi="Arial" w:cs="Arial"/>
          <w:sz w:val="22"/>
          <w:szCs w:val="22"/>
        </w:rPr>
      </w:pPr>
    </w:p>
    <w:p w14:paraId="27840127" w14:textId="20C4EDFE" w:rsidR="00566D28" w:rsidRPr="00566D28" w:rsidRDefault="000C0649" w:rsidP="00566D28">
      <w:pPr>
        <w:rPr>
          <w:rFonts w:ascii="Arial" w:hAnsi="Arial" w:cs="Arial"/>
          <w:sz w:val="22"/>
          <w:szCs w:val="22"/>
        </w:rPr>
      </w:pPr>
      <w:r>
        <w:rPr>
          <w:rFonts w:ascii="Arial" w:hAnsi="Arial" w:cs="Arial"/>
          <w:sz w:val="22"/>
          <w:szCs w:val="22"/>
        </w:rPr>
        <w:t>Recommendation</w:t>
      </w:r>
      <w:r w:rsidR="00566D28" w:rsidRPr="00566D2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0659C">
        <w:rPr>
          <w:rFonts w:ascii="Arial" w:hAnsi="Arial" w:cs="Arial"/>
          <w:sz w:val="22"/>
          <w:szCs w:val="22"/>
        </w:rPr>
        <w:t>1</w:t>
      </w:r>
      <w:r w:rsidR="00AA4E5C">
        <w:rPr>
          <w:rFonts w:ascii="Arial" w:hAnsi="Arial" w:cs="Arial"/>
          <w:sz w:val="22"/>
          <w:szCs w:val="22"/>
        </w:rPr>
        <w:t>2</w:t>
      </w:r>
    </w:p>
    <w:p w14:paraId="3961AE0A" w14:textId="7FDDFAA7" w:rsidR="006451CA" w:rsidRPr="00566D28" w:rsidRDefault="006451CA" w:rsidP="0093073D">
      <w:pPr>
        <w:autoSpaceDE w:val="0"/>
        <w:autoSpaceDN w:val="0"/>
        <w:adjustRightInd w:val="0"/>
        <w:jc w:val="both"/>
        <w:rPr>
          <w:rFonts w:ascii="Arial" w:hAnsi="Arial" w:cs="Arial"/>
          <w:sz w:val="22"/>
          <w:szCs w:val="22"/>
        </w:rPr>
      </w:pPr>
    </w:p>
    <w:p w14:paraId="01E5DE58" w14:textId="6A8F8B3E" w:rsidR="00A21FFA" w:rsidRPr="003E012D" w:rsidRDefault="00A21FFA" w:rsidP="00026994">
      <w:pPr>
        <w:autoSpaceDE w:val="0"/>
        <w:autoSpaceDN w:val="0"/>
        <w:adjustRightInd w:val="0"/>
        <w:rPr>
          <w:rFonts w:ascii="Arial" w:hAnsi="Arial" w:cs="Arial"/>
          <w:sz w:val="22"/>
          <w:szCs w:val="22"/>
        </w:rPr>
      </w:pPr>
    </w:p>
    <w:p w14:paraId="43871EEF" w14:textId="77777777" w:rsidR="006451CA" w:rsidRPr="003E012D" w:rsidRDefault="006451CA" w:rsidP="00026994">
      <w:pPr>
        <w:rPr>
          <w:rFonts w:ascii="Arial" w:hAnsi="Arial" w:cs="Arial"/>
          <w:sz w:val="22"/>
          <w:szCs w:val="22"/>
        </w:rPr>
      </w:pPr>
    </w:p>
    <w:p w14:paraId="31BA94C9" w14:textId="77777777" w:rsidR="006451CA" w:rsidRPr="003E012D" w:rsidRDefault="006451CA" w:rsidP="00026994">
      <w:pPr>
        <w:rPr>
          <w:rFonts w:ascii="Arial" w:hAnsi="Arial" w:cs="Arial"/>
          <w:sz w:val="22"/>
          <w:szCs w:val="22"/>
        </w:rPr>
      </w:pPr>
    </w:p>
    <w:p w14:paraId="5DEAB451" w14:textId="77777777" w:rsidR="006451CA" w:rsidRPr="003E012D" w:rsidRDefault="006451CA" w:rsidP="00026994">
      <w:pPr>
        <w:rPr>
          <w:rFonts w:ascii="Arial" w:hAnsi="Arial" w:cs="Arial"/>
          <w:sz w:val="22"/>
          <w:szCs w:val="22"/>
        </w:rPr>
      </w:pPr>
    </w:p>
    <w:p w14:paraId="1046784E" w14:textId="404B746F" w:rsidR="00566D28" w:rsidRDefault="00566D28" w:rsidP="00AA596A">
      <w:pPr>
        <w:rPr>
          <w:rFonts w:ascii="Arial" w:hAnsi="Arial" w:cs="Arial"/>
          <w:sz w:val="22"/>
          <w:szCs w:val="22"/>
        </w:rPr>
      </w:pPr>
    </w:p>
    <w:p w14:paraId="29BEAF4D" w14:textId="77777777" w:rsidR="00AA596A" w:rsidRDefault="00AA596A" w:rsidP="00AA596A">
      <w:pPr>
        <w:rPr>
          <w:rFonts w:ascii="Arial" w:hAnsi="Arial" w:cs="Arial"/>
          <w:sz w:val="22"/>
          <w:szCs w:val="22"/>
        </w:rPr>
      </w:pPr>
    </w:p>
    <w:p w14:paraId="1357E2CF" w14:textId="77777777" w:rsidR="00AA596A" w:rsidRDefault="00AA596A" w:rsidP="00AA596A">
      <w:pPr>
        <w:rPr>
          <w:rFonts w:ascii="Arial" w:hAnsi="Arial" w:cs="Arial"/>
          <w:sz w:val="22"/>
          <w:szCs w:val="22"/>
        </w:rPr>
      </w:pPr>
    </w:p>
    <w:p w14:paraId="2DA4DDC4" w14:textId="77777777" w:rsidR="00AA596A" w:rsidRDefault="00AA596A" w:rsidP="00AA596A">
      <w:pPr>
        <w:rPr>
          <w:rFonts w:ascii="Arial" w:hAnsi="Arial" w:cs="Arial"/>
          <w:sz w:val="22"/>
          <w:szCs w:val="22"/>
        </w:rPr>
      </w:pPr>
    </w:p>
    <w:p w14:paraId="28DC7562" w14:textId="77777777" w:rsidR="00AA596A" w:rsidRDefault="00AA596A" w:rsidP="00AA596A">
      <w:pPr>
        <w:rPr>
          <w:rFonts w:ascii="Arial" w:hAnsi="Arial" w:cs="Arial"/>
          <w:sz w:val="22"/>
          <w:szCs w:val="22"/>
        </w:rPr>
      </w:pPr>
    </w:p>
    <w:p w14:paraId="2C8FE787" w14:textId="77777777" w:rsidR="00AA596A" w:rsidRDefault="00AA596A" w:rsidP="00AA596A">
      <w:pPr>
        <w:rPr>
          <w:rFonts w:ascii="Arial" w:hAnsi="Arial" w:cs="Arial"/>
          <w:sz w:val="22"/>
          <w:szCs w:val="22"/>
        </w:rPr>
      </w:pPr>
    </w:p>
    <w:p w14:paraId="27B1DEFE" w14:textId="77777777" w:rsidR="00AA596A" w:rsidRDefault="00AA596A" w:rsidP="00AA596A">
      <w:pPr>
        <w:rPr>
          <w:rFonts w:ascii="Arial" w:hAnsi="Arial" w:cs="Arial"/>
          <w:sz w:val="22"/>
          <w:szCs w:val="22"/>
        </w:rPr>
      </w:pPr>
    </w:p>
    <w:p w14:paraId="6DC46B8C" w14:textId="77777777" w:rsidR="00AA596A" w:rsidRDefault="00AA596A" w:rsidP="00AA596A">
      <w:pPr>
        <w:rPr>
          <w:rFonts w:ascii="Arial" w:hAnsi="Arial" w:cs="Arial"/>
          <w:sz w:val="22"/>
          <w:szCs w:val="22"/>
        </w:rPr>
      </w:pPr>
    </w:p>
    <w:p w14:paraId="235EB952" w14:textId="77777777" w:rsidR="00AA596A" w:rsidRDefault="00AA596A" w:rsidP="00AA596A">
      <w:pPr>
        <w:rPr>
          <w:rFonts w:ascii="Arial" w:hAnsi="Arial" w:cs="Arial"/>
          <w:sz w:val="22"/>
          <w:szCs w:val="22"/>
        </w:rPr>
      </w:pPr>
    </w:p>
    <w:p w14:paraId="03F84227" w14:textId="77777777" w:rsidR="00AA596A" w:rsidRDefault="00AA596A" w:rsidP="00AA596A">
      <w:pPr>
        <w:rPr>
          <w:rFonts w:ascii="Arial" w:hAnsi="Arial" w:cs="Arial"/>
          <w:sz w:val="22"/>
          <w:szCs w:val="22"/>
        </w:rPr>
      </w:pPr>
    </w:p>
    <w:p w14:paraId="660E90F5" w14:textId="77777777" w:rsidR="00AA596A" w:rsidRDefault="00AA596A" w:rsidP="00AA596A">
      <w:pPr>
        <w:rPr>
          <w:rFonts w:ascii="Arial" w:hAnsi="Arial" w:cs="Arial"/>
          <w:sz w:val="22"/>
          <w:szCs w:val="22"/>
        </w:rPr>
      </w:pPr>
    </w:p>
    <w:p w14:paraId="57DBE915" w14:textId="77777777" w:rsidR="00AA596A" w:rsidRDefault="00AA596A" w:rsidP="00AA596A">
      <w:pPr>
        <w:rPr>
          <w:rFonts w:ascii="Arial" w:hAnsi="Arial" w:cs="Arial"/>
          <w:sz w:val="22"/>
          <w:szCs w:val="22"/>
        </w:rPr>
      </w:pPr>
    </w:p>
    <w:p w14:paraId="2A89C1EB" w14:textId="77777777" w:rsidR="00AA596A" w:rsidRDefault="00AA596A" w:rsidP="00AA596A">
      <w:pPr>
        <w:rPr>
          <w:rFonts w:ascii="Arial" w:hAnsi="Arial" w:cs="Arial"/>
          <w:sz w:val="22"/>
          <w:szCs w:val="22"/>
        </w:rPr>
      </w:pPr>
    </w:p>
    <w:p w14:paraId="01E10E72" w14:textId="77777777" w:rsidR="00AA596A" w:rsidRDefault="00AA596A" w:rsidP="00AA596A">
      <w:pPr>
        <w:rPr>
          <w:rFonts w:ascii="Arial" w:hAnsi="Arial" w:cs="Arial"/>
          <w:sz w:val="22"/>
          <w:szCs w:val="22"/>
        </w:rPr>
      </w:pPr>
    </w:p>
    <w:p w14:paraId="31F3D620" w14:textId="77777777" w:rsidR="00AA596A" w:rsidRDefault="00AA596A" w:rsidP="00AA596A">
      <w:pPr>
        <w:rPr>
          <w:rFonts w:ascii="Arial" w:hAnsi="Arial" w:cs="Arial"/>
          <w:sz w:val="22"/>
          <w:szCs w:val="22"/>
        </w:rPr>
      </w:pPr>
    </w:p>
    <w:p w14:paraId="726A51A1" w14:textId="77777777" w:rsidR="00AA596A" w:rsidRDefault="00AA596A" w:rsidP="00AA596A">
      <w:pPr>
        <w:rPr>
          <w:rFonts w:ascii="Arial" w:hAnsi="Arial" w:cs="Arial"/>
          <w:sz w:val="22"/>
          <w:szCs w:val="22"/>
        </w:rPr>
      </w:pPr>
    </w:p>
    <w:p w14:paraId="73CA93AF" w14:textId="77777777" w:rsidR="00AA596A" w:rsidRDefault="00AA596A" w:rsidP="00AA596A">
      <w:pPr>
        <w:rPr>
          <w:rFonts w:ascii="Arial" w:hAnsi="Arial" w:cs="Arial"/>
          <w:sz w:val="22"/>
          <w:szCs w:val="22"/>
        </w:rPr>
      </w:pPr>
    </w:p>
    <w:p w14:paraId="3D9086B4" w14:textId="77777777" w:rsidR="00AA596A" w:rsidRDefault="00AA596A" w:rsidP="00AA596A">
      <w:pPr>
        <w:rPr>
          <w:rFonts w:ascii="Arial" w:hAnsi="Arial" w:cs="Arial"/>
          <w:sz w:val="22"/>
          <w:szCs w:val="22"/>
        </w:rPr>
      </w:pPr>
    </w:p>
    <w:p w14:paraId="6C8C710B" w14:textId="77777777" w:rsidR="00AA596A" w:rsidRDefault="00AA596A" w:rsidP="00AA596A">
      <w:pPr>
        <w:rPr>
          <w:rFonts w:ascii="Arial" w:hAnsi="Arial" w:cs="Arial"/>
          <w:sz w:val="22"/>
          <w:szCs w:val="22"/>
        </w:rPr>
      </w:pPr>
    </w:p>
    <w:p w14:paraId="62D9A20A" w14:textId="77777777" w:rsidR="00AA596A" w:rsidRDefault="00AA596A" w:rsidP="00AA596A">
      <w:pPr>
        <w:rPr>
          <w:rFonts w:ascii="Arial" w:hAnsi="Arial" w:cs="Arial"/>
          <w:sz w:val="22"/>
          <w:szCs w:val="22"/>
        </w:rPr>
      </w:pPr>
    </w:p>
    <w:p w14:paraId="522A3AF7" w14:textId="77777777" w:rsidR="00AA596A" w:rsidRDefault="00AA596A" w:rsidP="00AA596A">
      <w:pPr>
        <w:rPr>
          <w:rFonts w:ascii="Arial" w:hAnsi="Arial" w:cs="Arial"/>
          <w:sz w:val="22"/>
          <w:szCs w:val="22"/>
        </w:rPr>
      </w:pPr>
    </w:p>
    <w:p w14:paraId="3924EDB2" w14:textId="77777777" w:rsidR="00AA596A" w:rsidRDefault="00AA596A" w:rsidP="00AA596A">
      <w:pPr>
        <w:rPr>
          <w:rFonts w:ascii="Arial" w:hAnsi="Arial" w:cs="Arial"/>
          <w:sz w:val="22"/>
          <w:szCs w:val="22"/>
        </w:rPr>
      </w:pPr>
    </w:p>
    <w:p w14:paraId="58BFA8F1" w14:textId="77777777" w:rsidR="00AA596A" w:rsidRDefault="00AA596A" w:rsidP="00AA596A">
      <w:pPr>
        <w:rPr>
          <w:rFonts w:ascii="Arial" w:hAnsi="Arial" w:cs="Arial"/>
          <w:sz w:val="22"/>
          <w:szCs w:val="22"/>
        </w:rPr>
      </w:pPr>
    </w:p>
    <w:p w14:paraId="4BC1193D" w14:textId="77777777" w:rsidR="00AA596A" w:rsidRDefault="00AA596A" w:rsidP="00AA596A">
      <w:pPr>
        <w:rPr>
          <w:rFonts w:ascii="Arial" w:hAnsi="Arial" w:cs="Arial"/>
          <w:sz w:val="22"/>
          <w:szCs w:val="22"/>
        </w:rPr>
      </w:pPr>
    </w:p>
    <w:p w14:paraId="70E6FAAF" w14:textId="697AB727" w:rsidR="00BE2B7D" w:rsidRPr="00D863D0" w:rsidRDefault="00566D28" w:rsidP="003C4BD5">
      <w:pPr>
        <w:autoSpaceDE w:val="0"/>
        <w:autoSpaceDN w:val="0"/>
        <w:adjustRightInd w:val="0"/>
        <w:spacing w:line="360" w:lineRule="auto"/>
        <w:rPr>
          <w:rFonts w:ascii="Arial" w:hAnsi="Arial" w:cs="Arial"/>
          <w:b/>
          <w:iCs/>
          <w:color w:val="A6192E"/>
          <w:sz w:val="28"/>
          <w:szCs w:val="28"/>
        </w:rPr>
      </w:pPr>
      <w:r w:rsidRPr="00D863D0">
        <w:rPr>
          <w:rFonts w:ascii="Arial" w:hAnsi="Arial" w:cs="Arial"/>
          <w:b/>
          <w:iCs/>
          <w:color w:val="A6192E"/>
          <w:sz w:val="28"/>
          <w:szCs w:val="28"/>
        </w:rPr>
        <w:lastRenderedPageBreak/>
        <w:t>Introduction</w:t>
      </w:r>
    </w:p>
    <w:p w14:paraId="49C8A8A9" w14:textId="23D13F71" w:rsidR="00751E08" w:rsidRPr="003E012D" w:rsidRDefault="00751E08" w:rsidP="00751E08">
      <w:pPr>
        <w:pStyle w:val="ListParagraph"/>
        <w:ind w:left="0"/>
        <w:contextualSpacing w:val="0"/>
        <w:jc w:val="center"/>
        <w:rPr>
          <w:rFonts w:ascii="Arial" w:hAnsi="Arial" w:cs="Arial"/>
          <w:sz w:val="22"/>
          <w:szCs w:val="22"/>
        </w:rPr>
      </w:pPr>
    </w:p>
    <w:p w14:paraId="7B69BB1B" w14:textId="77777777" w:rsidR="005B2AB3" w:rsidRDefault="00AA596A" w:rsidP="00AA596A">
      <w:pPr>
        <w:jc w:val="both"/>
        <w:rPr>
          <w:rFonts w:ascii="Arial" w:hAnsi="Arial" w:cs="Arial"/>
          <w:sz w:val="22"/>
          <w:szCs w:val="22"/>
        </w:rPr>
      </w:pPr>
      <w:r w:rsidRPr="00AA596A">
        <w:rPr>
          <w:rFonts w:ascii="Arial" w:hAnsi="Arial" w:cs="Arial"/>
          <w:sz w:val="22"/>
          <w:szCs w:val="22"/>
        </w:rPr>
        <w:t>The Scottish Fire and Rescue Service is required under the Fire (Scotland) Act 2005 as amended to prepare Local Fire and Rescue Plans for each local authority in Scotland.  Following the publication of our Strategic Plan in our inaugural year, our first Local Plans were published in April 2014.</w:t>
      </w:r>
    </w:p>
    <w:p w14:paraId="647C43F4" w14:textId="223C0594" w:rsidR="00AA596A" w:rsidRPr="00AA596A" w:rsidRDefault="00AA596A" w:rsidP="00AA596A">
      <w:pPr>
        <w:jc w:val="both"/>
        <w:rPr>
          <w:rFonts w:ascii="Arial" w:hAnsi="Arial" w:cs="Arial"/>
          <w:sz w:val="22"/>
          <w:szCs w:val="22"/>
        </w:rPr>
      </w:pPr>
      <w:r w:rsidRPr="00AA596A">
        <w:rPr>
          <w:rFonts w:ascii="Arial" w:hAnsi="Arial" w:cs="Arial"/>
          <w:sz w:val="22"/>
          <w:szCs w:val="22"/>
        </w:rPr>
        <w:t xml:space="preserve">        </w:t>
      </w:r>
    </w:p>
    <w:p w14:paraId="0E47E6F2" w14:textId="77777777" w:rsidR="00AA596A" w:rsidRDefault="00AA596A" w:rsidP="00AA596A">
      <w:pPr>
        <w:jc w:val="both"/>
        <w:rPr>
          <w:rFonts w:ascii="Arial" w:hAnsi="Arial" w:cs="Arial"/>
          <w:sz w:val="22"/>
          <w:szCs w:val="22"/>
        </w:rPr>
      </w:pPr>
      <w:r w:rsidRPr="00AA596A">
        <w:rPr>
          <w:rFonts w:ascii="Arial" w:hAnsi="Arial" w:cs="Arial"/>
          <w:sz w:val="22"/>
          <w:szCs w:val="22"/>
        </w:rPr>
        <w:t xml:space="preserve">These plans were developed to direct the Service through its initial transformation journey and have helped to forge our place as a national organisation with a strong sense of local accountability.  Against the drive of public sector reform, the local planning landscape continues to evolve to provide a greater focus on protecting the most vulnerable and improving community outcomes through collaborative working.  </w:t>
      </w:r>
    </w:p>
    <w:p w14:paraId="73AEC186" w14:textId="77777777" w:rsidR="005B2AB3" w:rsidRPr="00AA596A" w:rsidRDefault="005B2AB3" w:rsidP="00AA596A">
      <w:pPr>
        <w:jc w:val="both"/>
        <w:rPr>
          <w:rFonts w:ascii="Arial" w:hAnsi="Arial" w:cs="Arial"/>
          <w:sz w:val="22"/>
          <w:szCs w:val="22"/>
        </w:rPr>
      </w:pPr>
    </w:p>
    <w:p w14:paraId="77739CB0" w14:textId="77777777" w:rsidR="00AA596A" w:rsidRPr="00AA596A" w:rsidRDefault="00AA596A" w:rsidP="00AA596A">
      <w:pPr>
        <w:jc w:val="both"/>
        <w:rPr>
          <w:rFonts w:ascii="Arial" w:hAnsi="Arial" w:cs="Arial"/>
          <w:sz w:val="22"/>
          <w:szCs w:val="22"/>
        </w:rPr>
      </w:pPr>
      <w:r w:rsidRPr="00AA596A">
        <w:rPr>
          <w:rFonts w:ascii="Arial" w:hAnsi="Arial" w:cs="Arial"/>
          <w:sz w:val="22"/>
          <w:szCs w:val="22"/>
        </w:rPr>
        <w:t xml:space="preserve">The publication of our new Strategic Plan 2016-19 in October 2016 now instigates a timely requirement to carry out a mandatory review of all Local Fire and Rescue Plans.  This review will provide us with information on how well we are performing against our existing priorities as well as highlighting areas for continued improvement and opportunities for change against the growing needs of our communities.  </w:t>
      </w:r>
    </w:p>
    <w:p w14:paraId="2E90409E" w14:textId="77777777" w:rsidR="005B2AB3" w:rsidRDefault="005B2AB3" w:rsidP="00AA596A">
      <w:pPr>
        <w:pStyle w:val="ListParagraph"/>
        <w:ind w:left="0"/>
        <w:jc w:val="both"/>
        <w:rPr>
          <w:rFonts w:ascii="Arial" w:eastAsiaTheme="minorHAnsi" w:hAnsi="Arial" w:cs="Arial"/>
          <w:b/>
          <w:color w:val="A6192E"/>
          <w:sz w:val="32"/>
          <w:szCs w:val="32"/>
          <w:lang w:eastAsia="en-US"/>
        </w:rPr>
      </w:pPr>
    </w:p>
    <w:p w14:paraId="10B0BF2B" w14:textId="1C511D6F" w:rsidR="00D863D0" w:rsidRPr="005B2AB3" w:rsidRDefault="00AA596A" w:rsidP="00AA596A">
      <w:pPr>
        <w:pStyle w:val="ListParagraph"/>
        <w:ind w:left="0"/>
        <w:jc w:val="both"/>
        <w:rPr>
          <w:rFonts w:ascii="Arial" w:eastAsiaTheme="minorHAnsi" w:hAnsi="Arial" w:cs="Arial"/>
          <w:b/>
          <w:color w:val="A6192E"/>
          <w:sz w:val="28"/>
          <w:szCs w:val="28"/>
          <w:lang w:eastAsia="en-US"/>
        </w:rPr>
      </w:pPr>
      <w:r w:rsidRPr="005B2AB3">
        <w:rPr>
          <w:rFonts w:ascii="Arial" w:eastAsiaTheme="minorHAnsi" w:hAnsi="Arial" w:cs="Arial"/>
          <w:b/>
          <w:color w:val="A6192E"/>
          <w:sz w:val="28"/>
          <w:szCs w:val="28"/>
          <w:lang w:eastAsia="en-US"/>
        </w:rPr>
        <w:t xml:space="preserve">Performance – what the figures told us </w:t>
      </w:r>
    </w:p>
    <w:p w14:paraId="6EE2DAC0" w14:textId="77777777" w:rsidR="00AA596A" w:rsidRDefault="00AA596A" w:rsidP="00AA596A">
      <w:pPr>
        <w:pStyle w:val="ListParagraph"/>
        <w:ind w:left="0"/>
        <w:jc w:val="both"/>
        <w:rPr>
          <w:rFonts w:ascii="Arial" w:eastAsiaTheme="minorHAnsi" w:hAnsi="Arial" w:cs="Arial"/>
          <w:sz w:val="22"/>
          <w:szCs w:val="22"/>
          <w:lang w:eastAsia="en-US"/>
        </w:rPr>
      </w:pPr>
    </w:p>
    <w:p w14:paraId="4BC95BF4" w14:textId="77777777" w:rsidR="00AA596A" w:rsidRDefault="00AA596A" w:rsidP="00AA596A">
      <w:pPr>
        <w:jc w:val="both"/>
        <w:rPr>
          <w:rFonts w:ascii="Arial" w:hAnsi="Arial" w:cs="Arial"/>
          <w:sz w:val="22"/>
          <w:szCs w:val="22"/>
        </w:rPr>
      </w:pPr>
      <w:r w:rsidRPr="00AA596A">
        <w:rPr>
          <w:rFonts w:ascii="Arial" w:hAnsi="Arial" w:cs="Arial"/>
          <w:sz w:val="22"/>
          <w:szCs w:val="22"/>
        </w:rPr>
        <w:t>Over the past five years within Stirling, the SFRS responded to an average of 1432 incidents each year. Review of operational demand has indicated a downward trend overall, with activity levels decreasing by 9% between 2012 and 2015. The rise in 2015/16 is in the main due to the increase in secondary fires and attendance at road traffic collisions and the rise in 2016/17 has mostly been due to rise in False Alarms.</w:t>
      </w:r>
    </w:p>
    <w:p w14:paraId="35D95748" w14:textId="77777777" w:rsidR="005B2AB3" w:rsidRPr="00AA596A" w:rsidRDefault="005B2AB3" w:rsidP="00AA596A">
      <w:pPr>
        <w:jc w:val="both"/>
        <w:rPr>
          <w:rFonts w:ascii="Arial" w:hAnsi="Arial" w:cs="Arial"/>
          <w:b/>
          <w:sz w:val="22"/>
          <w:szCs w:val="22"/>
        </w:rPr>
      </w:pPr>
    </w:p>
    <w:p w14:paraId="06D971FE" w14:textId="77777777" w:rsidR="00AA596A" w:rsidRDefault="00AA596A" w:rsidP="00AA596A">
      <w:pPr>
        <w:rPr>
          <w:rFonts w:ascii="Arial" w:hAnsi="Arial" w:cs="Arial"/>
          <w:b/>
        </w:rPr>
      </w:pPr>
      <w:r>
        <w:rPr>
          <w:rFonts w:ascii="Arial" w:hAnsi="Arial" w:cs="Arial"/>
          <w:b/>
          <w:noProof/>
        </w:rPr>
        <w:drawing>
          <wp:inline distT="0" distB="0" distL="0" distR="0" wp14:anchorId="23A1A5EA" wp14:editId="1DEC66BC">
            <wp:extent cx="5539740" cy="2689860"/>
            <wp:effectExtent l="0" t="0" r="381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1"/>
        <w:gridCol w:w="1012"/>
        <w:gridCol w:w="1012"/>
        <w:gridCol w:w="1012"/>
        <w:gridCol w:w="1012"/>
        <w:gridCol w:w="1012"/>
      </w:tblGrid>
      <w:tr w:rsidR="00AA596A" w14:paraId="12EAF73B" w14:textId="77777777" w:rsidTr="00AA596A">
        <w:trPr>
          <w:trHeight w:val="197"/>
        </w:trPr>
        <w:tc>
          <w:tcPr>
            <w:tcW w:w="3681" w:type="dxa"/>
          </w:tcPr>
          <w:p w14:paraId="5EF6C249" w14:textId="77777777" w:rsidR="00AA596A" w:rsidRPr="005B2AB3" w:rsidRDefault="00AA596A" w:rsidP="00AA596A">
            <w:pPr>
              <w:rPr>
                <w:rFonts w:ascii="Arial" w:hAnsi="Arial" w:cs="Arial"/>
                <w:sz w:val="22"/>
                <w:szCs w:val="22"/>
              </w:rPr>
            </w:pPr>
          </w:p>
        </w:tc>
        <w:tc>
          <w:tcPr>
            <w:tcW w:w="1012" w:type="dxa"/>
          </w:tcPr>
          <w:p w14:paraId="3B886062" w14:textId="77777777" w:rsidR="00AA596A" w:rsidRPr="005B2AB3" w:rsidRDefault="00AA596A" w:rsidP="005B2AB3">
            <w:pPr>
              <w:jc w:val="center"/>
              <w:rPr>
                <w:rFonts w:ascii="Arial" w:hAnsi="Arial" w:cs="Arial"/>
                <w:b/>
                <w:sz w:val="22"/>
                <w:szCs w:val="22"/>
              </w:rPr>
            </w:pPr>
            <w:r w:rsidRPr="005B2AB3">
              <w:rPr>
                <w:rFonts w:ascii="Arial" w:hAnsi="Arial" w:cs="Arial"/>
                <w:b/>
                <w:sz w:val="22"/>
                <w:szCs w:val="22"/>
              </w:rPr>
              <w:t>2012/13</w:t>
            </w:r>
          </w:p>
        </w:tc>
        <w:tc>
          <w:tcPr>
            <w:tcW w:w="1012" w:type="dxa"/>
          </w:tcPr>
          <w:p w14:paraId="79E65EB9" w14:textId="77777777" w:rsidR="00AA596A" w:rsidRPr="005B2AB3" w:rsidRDefault="00AA596A" w:rsidP="005B2AB3">
            <w:pPr>
              <w:jc w:val="center"/>
              <w:rPr>
                <w:rFonts w:ascii="Arial" w:hAnsi="Arial" w:cs="Arial"/>
                <w:b/>
                <w:sz w:val="22"/>
                <w:szCs w:val="22"/>
              </w:rPr>
            </w:pPr>
            <w:r w:rsidRPr="005B2AB3">
              <w:rPr>
                <w:rFonts w:ascii="Arial" w:hAnsi="Arial" w:cs="Arial"/>
                <w:b/>
                <w:sz w:val="22"/>
                <w:szCs w:val="22"/>
              </w:rPr>
              <w:t>2013/14</w:t>
            </w:r>
          </w:p>
        </w:tc>
        <w:tc>
          <w:tcPr>
            <w:tcW w:w="1012" w:type="dxa"/>
          </w:tcPr>
          <w:p w14:paraId="15CCD838" w14:textId="77777777" w:rsidR="00AA596A" w:rsidRPr="005B2AB3" w:rsidRDefault="00AA596A" w:rsidP="005B2AB3">
            <w:pPr>
              <w:jc w:val="center"/>
              <w:rPr>
                <w:rFonts w:ascii="Arial" w:hAnsi="Arial" w:cs="Arial"/>
                <w:b/>
                <w:sz w:val="22"/>
                <w:szCs w:val="22"/>
              </w:rPr>
            </w:pPr>
            <w:r w:rsidRPr="005B2AB3">
              <w:rPr>
                <w:rFonts w:ascii="Arial" w:hAnsi="Arial" w:cs="Arial"/>
                <w:b/>
                <w:sz w:val="22"/>
                <w:szCs w:val="22"/>
              </w:rPr>
              <w:t>2014/15</w:t>
            </w:r>
          </w:p>
        </w:tc>
        <w:tc>
          <w:tcPr>
            <w:tcW w:w="1012" w:type="dxa"/>
          </w:tcPr>
          <w:p w14:paraId="6E8F9D4E" w14:textId="77777777" w:rsidR="00AA596A" w:rsidRPr="005B2AB3" w:rsidRDefault="00AA596A" w:rsidP="005B2AB3">
            <w:pPr>
              <w:jc w:val="center"/>
              <w:rPr>
                <w:rFonts w:ascii="Arial" w:hAnsi="Arial" w:cs="Arial"/>
                <w:b/>
                <w:sz w:val="22"/>
                <w:szCs w:val="22"/>
              </w:rPr>
            </w:pPr>
            <w:r w:rsidRPr="005B2AB3">
              <w:rPr>
                <w:rFonts w:ascii="Arial" w:hAnsi="Arial" w:cs="Arial"/>
                <w:b/>
                <w:sz w:val="22"/>
                <w:szCs w:val="22"/>
              </w:rPr>
              <w:t>2015/16</w:t>
            </w:r>
          </w:p>
        </w:tc>
        <w:tc>
          <w:tcPr>
            <w:tcW w:w="1012" w:type="dxa"/>
          </w:tcPr>
          <w:p w14:paraId="1692A5AF" w14:textId="77777777" w:rsidR="00AA596A" w:rsidRPr="005B2AB3" w:rsidRDefault="00AA596A" w:rsidP="005B2AB3">
            <w:pPr>
              <w:jc w:val="center"/>
              <w:rPr>
                <w:rFonts w:ascii="Arial" w:hAnsi="Arial" w:cs="Arial"/>
                <w:b/>
                <w:sz w:val="22"/>
                <w:szCs w:val="22"/>
              </w:rPr>
            </w:pPr>
            <w:r w:rsidRPr="005B2AB3">
              <w:rPr>
                <w:rFonts w:ascii="Arial" w:hAnsi="Arial" w:cs="Arial"/>
                <w:b/>
                <w:sz w:val="22"/>
                <w:szCs w:val="22"/>
              </w:rPr>
              <w:t>2016/17</w:t>
            </w:r>
          </w:p>
        </w:tc>
      </w:tr>
      <w:tr w:rsidR="00AA596A" w14:paraId="01CD5DA4" w14:textId="77777777" w:rsidTr="00AA596A">
        <w:tc>
          <w:tcPr>
            <w:tcW w:w="3681" w:type="dxa"/>
          </w:tcPr>
          <w:p w14:paraId="5B1B3EF1" w14:textId="77777777" w:rsidR="00AA596A" w:rsidRPr="005B2AB3" w:rsidRDefault="00AA596A" w:rsidP="00AA596A">
            <w:pPr>
              <w:rPr>
                <w:rFonts w:ascii="Arial" w:hAnsi="Arial" w:cs="Arial"/>
                <w:sz w:val="22"/>
                <w:szCs w:val="22"/>
              </w:rPr>
            </w:pPr>
            <w:r w:rsidRPr="005B2AB3">
              <w:rPr>
                <w:rFonts w:ascii="Arial" w:hAnsi="Arial" w:cs="Arial"/>
                <w:sz w:val="22"/>
                <w:szCs w:val="22"/>
              </w:rPr>
              <w:t>Fires</w:t>
            </w:r>
          </w:p>
        </w:tc>
        <w:tc>
          <w:tcPr>
            <w:tcW w:w="1012" w:type="dxa"/>
          </w:tcPr>
          <w:p w14:paraId="3F4A7958"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292</w:t>
            </w:r>
          </w:p>
        </w:tc>
        <w:tc>
          <w:tcPr>
            <w:tcW w:w="1012" w:type="dxa"/>
          </w:tcPr>
          <w:p w14:paraId="271DFDFC"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317</w:t>
            </w:r>
          </w:p>
        </w:tc>
        <w:tc>
          <w:tcPr>
            <w:tcW w:w="1012" w:type="dxa"/>
          </w:tcPr>
          <w:p w14:paraId="44A57E4B"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325</w:t>
            </w:r>
          </w:p>
        </w:tc>
        <w:tc>
          <w:tcPr>
            <w:tcW w:w="1012" w:type="dxa"/>
          </w:tcPr>
          <w:p w14:paraId="1BEAE39B"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464</w:t>
            </w:r>
          </w:p>
        </w:tc>
        <w:tc>
          <w:tcPr>
            <w:tcW w:w="1012" w:type="dxa"/>
          </w:tcPr>
          <w:p w14:paraId="1D2A7B6A"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403</w:t>
            </w:r>
          </w:p>
        </w:tc>
      </w:tr>
      <w:tr w:rsidR="00AA596A" w14:paraId="1C1DDBE1" w14:textId="77777777" w:rsidTr="00AA596A">
        <w:tc>
          <w:tcPr>
            <w:tcW w:w="3681" w:type="dxa"/>
          </w:tcPr>
          <w:p w14:paraId="3E8DFEAC" w14:textId="77777777" w:rsidR="00AA596A" w:rsidRPr="005B2AB3" w:rsidRDefault="00AA596A" w:rsidP="00AA596A">
            <w:pPr>
              <w:rPr>
                <w:rFonts w:ascii="Arial" w:hAnsi="Arial" w:cs="Arial"/>
                <w:sz w:val="22"/>
                <w:szCs w:val="22"/>
              </w:rPr>
            </w:pPr>
            <w:r w:rsidRPr="005B2AB3">
              <w:rPr>
                <w:rFonts w:ascii="Arial" w:hAnsi="Arial" w:cs="Arial"/>
                <w:sz w:val="22"/>
                <w:szCs w:val="22"/>
              </w:rPr>
              <w:t>Non-Fire Emergencies</w:t>
            </w:r>
          </w:p>
        </w:tc>
        <w:tc>
          <w:tcPr>
            <w:tcW w:w="1012" w:type="dxa"/>
          </w:tcPr>
          <w:p w14:paraId="686FD8C3"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222</w:t>
            </w:r>
          </w:p>
        </w:tc>
        <w:tc>
          <w:tcPr>
            <w:tcW w:w="1012" w:type="dxa"/>
          </w:tcPr>
          <w:p w14:paraId="25DB9E3D"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186</w:t>
            </w:r>
          </w:p>
        </w:tc>
        <w:tc>
          <w:tcPr>
            <w:tcW w:w="1012" w:type="dxa"/>
          </w:tcPr>
          <w:p w14:paraId="75524520"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187</w:t>
            </w:r>
          </w:p>
        </w:tc>
        <w:tc>
          <w:tcPr>
            <w:tcW w:w="1012" w:type="dxa"/>
          </w:tcPr>
          <w:p w14:paraId="7032DAF4"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240</w:t>
            </w:r>
          </w:p>
        </w:tc>
        <w:tc>
          <w:tcPr>
            <w:tcW w:w="1012" w:type="dxa"/>
          </w:tcPr>
          <w:p w14:paraId="6A06A611"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231</w:t>
            </w:r>
          </w:p>
        </w:tc>
      </w:tr>
      <w:tr w:rsidR="00AA596A" w14:paraId="7739C4F8" w14:textId="77777777" w:rsidTr="00AA596A">
        <w:tc>
          <w:tcPr>
            <w:tcW w:w="3681" w:type="dxa"/>
          </w:tcPr>
          <w:p w14:paraId="40890A53" w14:textId="77777777" w:rsidR="00AA596A" w:rsidRPr="005B2AB3" w:rsidRDefault="00AA596A" w:rsidP="00AA596A">
            <w:pPr>
              <w:rPr>
                <w:rFonts w:ascii="Arial" w:hAnsi="Arial" w:cs="Arial"/>
                <w:sz w:val="22"/>
                <w:szCs w:val="22"/>
              </w:rPr>
            </w:pPr>
            <w:r w:rsidRPr="005B2AB3">
              <w:rPr>
                <w:rFonts w:ascii="Arial" w:hAnsi="Arial" w:cs="Arial"/>
                <w:sz w:val="22"/>
                <w:szCs w:val="22"/>
              </w:rPr>
              <w:t>False Alarms</w:t>
            </w:r>
          </w:p>
        </w:tc>
        <w:tc>
          <w:tcPr>
            <w:tcW w:w="1012" w:type="dxa"/>
          </w:tcPr>
          <w:p w14:paraId="645DE5D8"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917</w:t>
            </w:r>
          </w:p>
        </w:tc>
        <w:tc>
          <w:tcPr>
            <w:tcW w:w="1012" w:type="dxa"/>
          </w:tcPr>
          <w:p w14:paraId="01478B8E"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865</w:t>
            </w:r>
          </w:p>
        </w:tc>
        <w:tc>
          <w:tcPr>
            <w:tcW w:w="1012" w:type="dxa"/>
          </w:tcPr>
          <w:p w14:paraId="30C17245"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800</w:t>
            </w:r>
          </w:p>
        </w:tc>
        <w:tc>
          <w:tcPr>
            <w:tcW w:w="1012" w:type="dxa"/>
          </w:tcPr>
          <w:p w14:paraId="084996F0"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775</w:t>
            </w:r>
          </w:p>
        </w:tc>
        <w:tc>
          <w:tcPr>
            <w:tcW w:w="1012" w:type="dxa"/>
          </w:tcPr>
          <w:p w14:paraId="0A303A50"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935</w:t>
            </w:r>
          </w:p>
        </w:tc>
      </w:tr>
      <w:tr w:rsidR="00AA596A" w14:paraId="11B9B8A9" w14:textId="77777777" w:rsidTr="00AA596A">
        <w:tc>
          <w:tcPr>
            <w:tcW w:w="3681" w:type="dxa"/>
          </w:tcPr>
          <w:p w14:paraId="7E466599" w14:textId="77777777" w:rsidR="00AA596A" w:rsidRPr="005B2AB3" w:rsidRDefault="00AA596A" w:rsidP="00AA596A">
            <w:pPr>
              <w:rPr>
                <w:rFonts w:ascii="Arial" w:hAnsi="Arial" w:cs="Arial"/>
                <w:sz w:val="22"/>
                <w:szCs w:val="22"/>
              </w:rPr>
            </w:pPr>
            <w:r w:rsidRPr="005B2AB3">
              <w:rPr>
                <w:rFonts w:ascii="Arial" w:hAnsi="Arial" w:cs="Arial"/>
                <w:sz w:val="22"/>
                <w:szCs w:val="22"/>
              </w:rPr>
              <w:t>Total Incidents</w:t>
            </w:r>
          </w:p>
        </w:tc>
        <w:tc>
          <w:tcPr>
            <w:tcW w:w="1012" w:type="dxa"/>
          </w:tcPr>
          <w:p w14:paraId="6DB49EC8"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1431</w:t>
            </w:r>
          </w:p>
        </w:tc>
        <w:tc>
          <w:tcPr>
            <w:tcW w:w="1012" w:type="dxa"/>
          </w:tcPr>
          <w:p w14:paraId="453C56C4"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1368</w:t>
            </w:r>
          </w:p>
        </w:tc>
        <w:tc>
          <w:tcPr>
            <w:tcW w:w="1012" w:type="dxa"/>
          </w:tcPr>
          <w:p w14:paraId="36D97DA3"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1312</w:t>
            </w:r>
          </w:p>
        </w:tc>
        <w:tc>
          <w:tcPr>
            <w:tcW w:w="1012" w:type="dxa"/>
          </w:tcPr>
          <w:p w14:paraId="50B5A749"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1479</w:t>
            </w:r>
          </w:p>
        </w:tc>
        <w:tc>
          <w:tcPr>
            <w:tcW w:w="1012" w:type="dxa"/>
          </w:tcPr>
          <w:p w14:paraId="63DF89E3" w14:textId="77777777" w:rsidR="00AA596A" w:rsidRPr="005B2AB3" w:rsidRDefault="00AA596A" w:rsidP="005B2AB3">
            <w:pPr>
              <w:jc w:val="center"/>
              <w:rPr>
                <w:rFonts w:ascii="Arial" w:hAnsi="Arial" w:cs="Arial"/>
                <w:sz w:val="22"/>
                <w:szCs w:val="22"/>
              </w:rPr>
            </w:pPr>
            <w:r w:rsidRPr="005B2AB3">
              <w:rPr>
                <w:rFonts w:ascii="Arial" w:hAnsi="Arial" w:cs="Arial"/>
                <w:sz w:val="22"/>
                <w:szCs w:val="22"/>
              </w:rPr>
              <w:t>1569</w:t>
            </w:r>
          </w:p>
        </w:tc>
      </w:tr>
    </w:tbl>
    <w:p w14:paraId="1CEDF427" w14:textId="77777777" w:rsidR="00AA596A" w:rsidRDefault="00AA596A" w:rsidP="00AA596A"/>
    <w:p w14:paraId="7AD78824" w14:textId="77777777" w:rsidR="005B2AB3" w:rsidRDefault="005B2AB3">
      <w:pPr>
        <w:rPr>
          <w:rFonts w:ascii="Arial" w:hAnsi="Arial" w:cs="Arial"/>
          <w:sz w:val="22"/>
          <w:szCs w:val="22"/>
        </w:rPr>
      </w:pPr>
      <w:r>
        <w:rPr>
          <w:rFonts w:ascii="Arial" w:hAnsi="Arial" w:cs="Arial"/>
          <w:sz w:val="22"/>
          <w:szCs w:val="22"/>
        </w:rPr>
        <w:br w:type="page"/>
      </w:r>
    </w:p>
    <w:p w14:paraId="6FBC3DF4" w14:textId="0A3A54E5" w:rsidR="00AA596A" w:rsidRDefault="00AA596A" w:rsidP="00AA596A">
      <w:pPr>
        <w:jc w:val="both"/>
        <w:rPr>
          <w:rFonts w:ascii="Arial" w:hAnsi="Arial" w:cs="Arial"/>
          <w:sz w:val="22"/>
          <w:szCs w:val="22"/>
        </w:rPr>
      </w:pPr>
      <w:r w:rsidRPr="00AA596A">
        <w:rPr>
          <w:rFonts w:ascii="Arial" w:hAnsi="Arial" w:cs="Arial"/>
          <w:sz w:val="22"/>
          <w:szCs w:val="22"/>
        </w:rPr>
        <w:lastRenderedPageBreak/>
        <w:t xml:space="preserve">The review of operational demand has identified False Alarms being the most common type of incidents attended within Stirling and have accounted for 60% of mobilisations with Fires and Non-Fire Emergencies (Special Services) accounting for 25% and 15% respectively. </w:t>
      </w:r>
    </w:p>
    <w:p w14:paraId="3BE723B4" w14:textId="77777777" w:rsidR="005B2AB3" w:rsidRPr="00AA596A" w:rsidRDefault="005B2AB3" w:rsidP="00AA596A">
      <w:pPr>
        <w:jc w:val="both"/>
        <w:rPr>
          <w:rFonts w:ascii="Arial" w:hAnsi="Arial" w:cs="Arial"/>
          <w:b/>
          <w:sz w:val="22"/>
          <w:szCs w:val="22"/>
        </w:rPr>
      </w:pPr>
    </w:p>
    <w:p w14:paraId="6BBC2142" w14:textId="4813D535" w:rsidR="00AA596A" w:rsidRPr="00664567" w:rsidRDefault="00AA596A" w:rsidP="005B2AB3">
      <w:pPr>
        <w:jc w:val="center"/>
        <w:rPr>
          <w:rFonts w:ascii="Arial" w:hAnsi="Arial" w:cs="Arial"/>
          <w:b/>
        </w:rPr>
      </w:pPr>
      <w:r>
        <w:rPr>
          <w:rFonts w:ascii="Arial" w:hAnsi="Arial" w:cs="Arial"/>
          <w:b/>
          <w:noProof/>
        </w:rPr>
        <w:drawing>
          <wp:inline distT="0" distB="0" distL="0" distR="0" wp14:anchorId="24011D34" wp14:editId="21C6262F">
            <wp:extent cx="2964180" cy="2209800"/>
            <wp:effectExtent l="0" t="0" r="7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174E0" w14:textId="77777777" w:rsidR="005B2AB3" w:rsidRDefault="005B2AB3" w:rsidP="00AA596A">
      <w:pPr>
        <w:pStyle w:val="Default"/>
        <w:spacing w:line="276" w:lineRule="auto"/>
        <w:jc w:val="both"/>
        <w:rPr>
          <w:color w:val="auto"/>
          <w:sz w:val="22"/>
          <w:szCs w:val="22"/>
        </w:rPr>
      </w:pPr>
    </w:p>
    <w:p w14:paraId="2B54DB56" w14:textId="77777777" w:rsidR="00AA596A" w:rsidRPr="00AA596A" w:rsidRDefault="00AA596A" w:rsidP="005B2AB3">
      <w:pPr>
        <w:pStyle w:val="Default"/>
        <w:jc w:val="both"/>
        <w:rPr>
          <w:color w:val="auto"/>
          <w:sz w:val="22"/>
          <w:szCs w:val="22"/>
        </w:rPr>
      </w:pPr>
      <w:r w:rsidRPr="00AA596A">
        <w:rPr>
          <w:color w:val="auto"/>
          <w:sz w:val="22"/>
          <w:szCs w:val="22"/>
        </w:rPr>
        <w:t xml:space="preserve">As part of the process of scrutiny the SFRS are responsible for the submission of performance reports to Public Safety. The basis of these reports is to report on the progress the SFRS is making against the priorities contained within the Local Fire and Rescue Plan 2014-17 for Stirling. The first two targets set in the table below followed the High Level Performance Indictors set within the Fire and Rescue Framework for Scotland 2013, with the remaining four targets defined at a local level. </w:t>
      </w:r>
    </w:p>
    <w:p w14:paraId="716F3D8B" w14:textId="77777777" w:rsidR="00AA596A" w:rsidRPr="00AA596A" w:rsidRDefault="00AA596A" w:rsidP="00AA596A">
      <w:pPr>
        <w:pStyle w:val="Default"/>
        <w:spacing w:line="276" w:lineRule="auto"/>
        <w:jc w:val="both"/>
        <w:rPr>
          <w:color w:val="FF0000"/>
          <w:sz w:val="22"/>
          <w:szCs w:val="22"/>
        </w:rPr>
      </w:pPr>
    </w:p>
    <w:p w14:paraId="5398EC64" w14:textId="77777777" w:rsidR="00AA596A" w:rsidRDefault="00AA596A" w:rsidP="00AA596A">
      <w:pPr>
        <w:jc w:val="both"/>
        <w:rPr>
          <w:rFonts w:ascii="Arial" w:hAnsi="Arial" w:cs="Arial"/>
          <w:sz w:val="22"/>
          <w:szCs w:val="22"/>
        </w:rPr>
      </w:pPr>
      <w:r w:rsidRPr="00AA596A">
        <w:rPr>
          <w:rFonts w:ascii="Arial" w:hAnsi="Arial" w:cs="Arial"/>
          <w:sz w:val="22"/>
          <w:szCs w:val="22"/>
        </w:rPr>
        <w:t>The current year’s (2016/17) progress against the rolling three-year average indicates two priorities above the three-year average and four priorities currently below the three-year average. We assess each of the targets that follow using a Red, Amber or Green indication of our performance. Green means we have achieved or exceeded the target; Amber means we did not achieve the target but achieved a reduction in the three-year average figure and Red means we have not achieved the target and have seen an increase in the three-year average figure.</w:t>
      </w:r>
    </w:p>
    <w:p w14:paraId="7F8AB1F1" w14:textId="77777777" w:rsidR="005B2AB3" w:rsidRPr="00AA596A" w:rsidRDefault="005B2AB3" w:rsidP="00AA596A">
      <w:pPr>
        <w:jc w:val="both"/>
        <w:rPr>
          <w:rFonts w:ascii="Arial" w:hAnsi="Arial" w:cs="Arial"/>
          <w:color w:val="FF0000"/>
          <w:sz w:val="22"/>
          <w:szCs w:val="22"/>
        </w:rPr>
      </w:pPr>
    </w:p>
    <w:tbl>
      <w:tblPr>
        <w:tblW w:w="10309" w:type="dxa"/>
        <w:tblInd w:w="-108" w:type="dxa"/>
        <w:tblLayout w:type="fixed"/>
        <w:tblLook w:val="0000" w:firstRow="0" w:lastRow="0" w:firstColumn="0" w:lastColumn="0" w:noHBand="0" w:noVBand="0"/>
      </w:tblPr>
      <w:tblGrid>
        <w:gridCol w:w="4503"/>
        <w:gridCol w:w="987"/>
        <w:gridCol w:w="992"/>
        <w:gridCol w:w="992"/>
        <w:gridCol w:w="980"/>
        <w:gridCol w:w="13"/>
        <w:gridCol w:w="992"/>
        <w:gridCol w:w="850"/>
      </w:tblGrid>
      <w:tr w:rsidR="0097016D" w:rsidRPr="001913A4" w14:paraId="0E970AA0" w14:textId="77777777" w:rsidTr="0032003B">
        <w:trPr>
          <w:trHeight w:val="76"/>
        </w:trPr>
        <w:tc>
          <w:tcPr>
            <w:tcW w:w="4503" w:type="dxa"/>
          </w:tcPr>
          <w:p w14:paraId="3BB0E177" w14:textId="77777777" w:rsidR="0097016D" w:rsidRDefault="0097016D" w:rsidP="0097016D">
            <w:pPr>
              <w:autoSpaceDE w:val="0"/>
              <w:autoSpaceDN w:val="0"/>
              <w:adjustRightInd w:val="0"/>
              <w:rPr>
                <w:rFonts w:ascii="Arial" w:hAnsi="Arial" w:cs="Arial"/>
                <w:b/>
                <w:bCs/>
                <w:color w:val="000000"/>
                <w:sz w:val="20"/>
                <w:szCs w:val="20"/>
              </w:rPr>
            </w:pPr>
            <w:r w:rsidRPr="00D41BAD">
              <w:rPr>
                <w:rFonts w:ascii="Arial" w:hAnsi="Arial" w:cs="Arial"/>
                <w:b/>
                <w:bCs/>
                <w:color w:val="000000"/>
                <w:sz w:val="20"/>
                <w:szCs w:val="20"/>
              </w:rPr>
              <w:t xml:space="preserve">Current Local Fire and Rescue Plan Priorities for </w:t>
            </w:r>
            <w:r>
              <w:rPr>
                <w:rFonts w:ascii="Arial" w:hAnsi="Arial" w:cs="Arial"/>
                <w:b/>
                <w:bCs/>
                <w:color w:val="000000"/>
                <w:sz w:val="20"/>
                <w:szCs w:val="20"/>
              </w:rPr>
              <w:t>Stirling</w:t>
            </w:r>
          </w:p>
          <w:p w14:paraId="09FBEB54" w14:textId="621E1DAF" w:rsidR="0097016D" w:rsidRPr="00D41BAD" w:rsidRDefault="0097016D" w:rsidP="0097016D">
            <w:pPr>
              <w:autoSpaceDE w:val="0"/>
              <w:autoSpaceDN w:val="0"/>
              <w:adjustRightInd w:val="0"/>
              <w:rPr>
                <w:rFonts w:ascii="Arial" w:hAnsi="Arial" w:cs="Arial"/>
                <w:color w:val="000000"/>
                <w:sz w:val="20"/>
                <w:szCs w:val="20"/>
              </w:rPr>
            </w:pPr>
          </w:p>
        </w:tc>
        <w:tc>
          <w:tcPr>
            <w:tcW w:w="987" w:type="dxa"/>
          </w:tcPr>
          <w:p w14:paraId="207F9A3C" w14:textId="77777777" w:rsidR="0097016D" w:rsidRPr="00D41BAD" w:rsidRDefault="0097016D" w:rsidP="0032003B">
            <w:pPr>
              <w:autoSpaceDE w:val="0"/>
              <w:autoSpaceDN w:val="0"/>
              <w:adjustRightInd w:val="0"/>
              <w:jc w:val="center"/>
              <w:rPr>
                <w:rFonts w:ascii="Arial" w:hAnsi="Arial" w:cs="Arial"/>
                <w:color w:val="000000"/>
                <w:sz w:val="20"/>
                <w:szCs w:val="20"/>
              </w:rPr>
            </w:pPr>
            <w:r w:rsidRPr="00D41BAD">
              <w:rPr>
                <w:rFonts w:ascii="Arial" w:hAnsi="Arial" w:cs="Arial"/>
                <w:b/>
                <w:bCs/>
                <w:color w:val="000000"/>
                <w:sz w:val="20"/>
                <w:szCs w:val="20"/>
              </w:rPr>
              <w:t>2013/14</w:t>
            </w:r>
          </w:p>
        </w:tc>
        <w:tc>
          <w:tcPr>
            <w:tcW w:w="992" w:type="dxa"/>
          </w:tcPr>
          <w:p w14:paraId="5A4CA36C" w14:textId="77777777" w:rsidR="0097016D" w:rsidRPr="00D41BAD" w:rsidRDefault="0097016D" w:rsidP="0032003B">
            <w:pPr>
              <w:autoSpaceDE w:val="0"/>
              <w:autoSpaceDN w:val="0"/>
              <w:adjustRightInd w:val="0"/>
              <w:jc w:val="center"/>
              <w:rPr>
                <w:rFonts w:ascii="Arial" w:hAnsi="Arial" w:cs="Arial"/>
                <w:color w:val="000000"/>
                <w:sz w:val="20"/>
                <w:szCs w:val="20"/>
              </w:rPr>
            </w:pPr>
            <w:r w:rsidRPr="00D41BAD">
              <w:rPr>
                <w:rFonts w:ascii="Arial" w:hAnsi="Arial" w:cs="Arial"/>
                <w:b/>
                <w:bCs/>
                <w:color w:val="000000"/>
                <w:sz w:val="20"/>
                <w:szCs w:val="20"/>
              </w:rPr>
              <w:t>2014/15</w:t>
            </w:r>
          </w:p>
        </w:tc>
        <w:tc>
          <w:tcPr>
            <w:tcW w:w="992" w:type="dxa"/>
          </w:tcPr>
          <w:p w14:paraId="492645D8" w14:textId="77777777" w:rsidR="0097016D" w:rsidRPr="00D41BAD" w:rsidRDefault="0097016D" w:rsidP="0032003B">
            <w:pPr>
              <w:autoSpaceDE w:val="0"/>
              <w:autoSpaceDN w:val="0"/>
              <w:adjustRightInd w:val="0"/>
              <w:jc w:val="center"/>
              <w:rPr>
                <w:rFonts w:ascii="Arial" w:hAnsi="Arial" w:cs="Arial"/>
                <w:color w:val="000000"/>
                <w:sz w:val="20"/>
                <w:szCs w:val="20"/>
              </w:rPr>
            </w:pPr>
            <w:r w:rsidRPr="00D41BAD">
              <w:rPr>
                <w:rFonts w:ascii="Arial" w:hAnsi="Arial" w:cs="Arial"/>
                <w:b/>
                <w:bCs/>
                <w:color w:val="000000"/>
                <w:sz w:val="20"/>
                <w:szCs w:val="20"/>
              </w:rPr>
              <w:t>2015/16</w:t>
            </w:r>
          </w:p>
        </w:tc>
        <w:tc>
          <w:tcPr>
            <w:tcW w:w="980" w:type="dxa"/>
          </w:tcPr>
          <w:p w14:paraId="5C52409D" w14:textId="77777777" w:rsidR="0097016D" w:rsidRPr="00D41BAD" w:rsidRDefault="0097016D" w:rsidP="0032003B">
            <w:pPr>
              <w:autoSpaceDE w:val="0"/>
              <w:autoSpaceDN w:val="0"/>
              <w:adjustRightInd w:val="0"/>
              <w:jc w:val="center"/>
              <w:rPr>
                <w:rFonts w:ascii="Arial" w:hAnsi="Arial" w:cs="Arial"/>
                <w:color w:val="000000"/>
                <w:sz w:val="20"/>
                <w:szCs w:val="20"/>
              </w:rPr>
            </w:pPr>
            <w:r w:rsidRPr="00D41BAD">
              <w:rPr>
                <w:rFonts w:ascii="Arial" w:hAnsi="Arial" w:cs="Arial"/>
                <w:b/>
                <w:bCs/>
                <w:color w:val="000000"/>
                <w:sz w:val="20"/>
                <w:szCs w:val="20"/>
              </w:rPr>
              <w:t>Target*</w:t>
            </w:r>
          </w:p>
        </w:tc>
        <w:tc>
          <w:tcPr>
            <w:tcW w:w="1005" w:type="dxa"/>
            <w:gridSpan w:val="2"/>
          </w:tcPr>
          <w:p w14:paraId="5A85BC5F" w14:textId="77777777" w:rsidR="0097016D" w:rsidRPr="00D41BAD" w:rsidRDefault="0097016D" w:rsidP="0032003B">
            <w:pPr>
              <w:autoSpaceDE w:val="0"/>
              <w:autoSpaceDN w:val="0"/>
              <w:adjustRightInd w:val="0"/>
              <w:jc w:val="center"/>
              <w:rPr>
                <w:rFonts w:ascii="Arial" w:hAnsi="Arial" w:cs="Arial"/>
                <w:b/>
                <w:bCs/>
                <w:color w:val="000000"/>
                <w:sz w:val="20"/>
                <w:szCs w:val="20"/>
              </w:rPr>
            </w:pPr>
            <w:r w:rsidRPr="00D41BAD">
              <w:rPr>
                <w:rFonts w:ascii="Arial" w:hAnsi="Arial" w:cs="Arial"/>
                <w:b/>
                <w:bCs/>
                <w:color w:val="000000"/>
                <w:sz w:val="20"/>
                <w:szCs w:val="20"/>
              </w:rPr>
              <w:t>2016/17</w:t>
            </w:r>
          </w:p>
        </w:tc>
        <w:tc>
          <w:tcPr>
            <w:tcW w:w="850" w:type="dxa"/>
          </w:tcPr>
          <w:p w14:paraId="57987395" w14:textId="75013499" w:rsidR="0097016D" w:rsidRPr="001913A4" w:rsidRDefault="0097016D" w:rsidP="0097016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RAG </w:t>
            </w:r>
          </w:p>
        </w:tc>
      </w:tr>
      <w:tr w:rsidR="0097016D" w:rsidRPr="001913A4" w14:paraId="7F070DC7" w14:textId="77777777" w:rsidTr="0032003B">
        <w:trPr>
          <w:trHeight w:val="77"/>
        </w:trPr>
        <w:tc>
          <w:tcPr>
            <w:tcW w:w="4503" w:type="dxa"/>
          </w:tcPr>
          <w:p w14:paraId="57BB85FE" w14:textId="77777777" w:rsidR="0097016D" w:rsidRPr="00D41BAD" w:rsidRDefault="0097016D" w:rsidP="0032003B">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R</w:t>
            </w:r>
            <w:r w:rsidRPr="00D41BAD">
              <w:rPr>
                <w:rFonts w:ascii="Arial" w:hAnsi="Arial" w:cs="Arial"/>
                <w:color w:val="000000"/>
                <w:sz w:val="20"/>
                <w:szCs w:val="20"/>
              </w:rPr>
              <w:t xml:space="preserve">educing Accidental Dwelling Fires by 10% each year </w:t>
            </w:r>
          </w:p>
        </w:tc>
        <w:tc>
          <w:tcPr>
            <w:tcW w:w="987" w:type="dxa"/>
          </w:tcPr>
          <w:p w14:paraId="1CB536CF" w14:textId="065F13A5" w:rsidR="0097016D" w:rsidRPr="0097016D" w:rsidRDefault="0097016D" w:rsidP="0032003B">
            <w:pPr>
              <w:autoSpaceDE w:val="0"/>
              <w:autoSpaceDN w:val="0"/>
              <w:adjustRightInd w:val="0"/>
              <w:jc w:val="center"/>
              <w:rPr>
                <w:rFonts w:ascii="Arial" w:hAnsi="Arial" w:cs="Arial"/>
                <w:b/>
                <w:color w:val="000000" w:themeColor="text1"/>
                <w:sz w:val="20"/>
                <w:szCs w:val="20"/>
              </w:rPr>
            </w:pPr>
            <w:r w:rsidRPr="0097016D">
              <w:rPr>
                <w:rFonts w:ascii="Arial" w:hAnsi="Arial" w:cs="Arial"/>
                <w:b/>
                <w:color w:val="000000" w:themeColor="text1"/>
                <w:sz w:val="20"/>
                <w:szCs w:val="20"/>
              </w:rPr>
              <w:t>66</w:t>
            </w:r>
          </w:p>
        </w:tc>
        <w:tc>
          <w:tcPr>
            <w:tcW w:w="992" w:type="dxa"/>
          </w:tcPr>
          <w:p w14:paraId="16DF611B" w14:textId="0881619C" w:rsidR="0097016D" w:rsidRPr="0097016D" w:rsidRDefault="0097016D" w:rsidP="0032003B">
            <w:pPr>
              <w:autoSpaceDE w:val="0"/>
              <w:autoSpaceDN w:val="0"/>
              <w:adjustRightInd w:val="0"/>
              <w:jc w:val="center"/>
              <w:rPr>
                <w:rFonts w:ascii="Arial" w:hAnsi="Arial" w:cs="Arial"/>
                <w:b/>
                <w:color w:val="000000" w:themeColor="text1"/>
                <w:sz w:val="20"/>
                <w:szCs w:val="20"/>
              </w:rPr>
            </w:pPr>
            <w:r w:rsidRPr="0097016D">
              <w:rPr>
                <w:rFonts w:ascii="Arial" w:hAnsi="Arial" w:cs="Arial"/>
                <w:b/>
                <w:color w:val="000000" w:themeColor="text1"/>
                <w:sz w:val="20"/>
                <w:szCs w:val="20"/>
              </w:rPr>
              <w:t>83</w:t>
            </w:r>
          </w:p>
        </w:tc>
        <w:tc>
          <w:tcPr>
            <w:tcW w:w="992" w:type="dxa"/>
          </w:tcPr>
          <w:p w14:paraId="2CC93FB5" w14:textId="668A47C8" w:rsidR="0097016D" w:rsidRPr="0097016D" w:rsidRDefault="0097016D" w:rsidP="0032003B">
            <w:pPr>
              <w:autoSpaceDE w:val="0"/>
              <w:autoSpaceDN w:val="0"/>
              <w:adjustRightInd w:val="0"/>
              <w:jc w:val="center"/>
              <w:rPr>
                <w:rFonts w:ascii="Arial" w:hAnsi="Arial" w:cs="Arial"/>
                <w:b/>
                <w:color w:val="000000" w:themeColor="text1"/>
                <w:sz w:val="20"/>
                <w:szCs w:val="20"/>
              </w:rPr>
            </w:pPr>
            <w:r w:rsidRPr="0097016D">
              <w:rPr>
                <w:rFonts w:ascii="Arial" w:hAnsi="Arial" w:cs="Arial"/>
                <w:b/>
                <w:color w:val="000000" w:themeColor="text1"/>
                <w:sz w:val="20"/>
                <w:szCs w:val="20"/>
              </w:rPr>
              <w:t>107</w:t>
            </w:r>
          </w:p>
        </w:tc>
        <w:tc>
          <w:tcPr>
            <w:tcW w:w="993" w:type="dxa"/>
            <w:gridSpan w:val="2"/>
          </w:tcPr>
          <w:p w14:paraId="25E547BD" w14:textId="61F0A0A4" w:rsidR="0097016D" w:rsidRPr="0097016D" w:rsidRDefault="0097016D" w:rsidP="0032003B">
            <w:pPr>
              <w:autoSpaceDE w:val="0"/>
              <w:autoSpaceDN w:val="0"/>
              <w:adjustRightInd w:val="0"/>
              <w:jc w:val="center"/>
              <w:rPr>
                <w:rFonts w:ascii="Arial" w:hAnsi="Arial" w:cs="Arial"/>
                <w:b/>
                <w:color w:val="000000" w:themeColor="text1"/>
                <w:sz w:val="20"/>
                <w:szCs w:val="20"/>
              </w:rPr>
            </w:pPr>
            <w:r w:rsidRPr="0097016D">
              <w:rPr>
                <w:rFonts w:ascii="Arial" w:hAnsi="Arial" w:cs="Arial"/>
                <w:b/>
                <w:color w:val="000000" w:themeColor="text1"/>
                <w:sz w:val="20"/>
                <w:szCs w:val="20"/>
              </w:rPr>
              <w:t>77</w:t>
            </w:r>
          </w:p>
        </w:tc>
        <w:tc>
          <w:tcPr>
            <w:tcW w:w="992" w:type="dxa"/>
          </w:tcPr>
          <w:p w14:paraId="1152661C" w14:textId="674F9D60" w:rsidR="0097016D" w:rsidRPr="0097016D" w:rsidRDefault="0097016D" w:rsidP="0032003B">
            <w:pPr>
              <w:autoSpaceDE w:val="0"/>
              <w:autoSpaceDN w:val="0"/>
              <w:adjustRightInd w:val="0"/>
              <w:jc w:val="center"/>
              <w:rPr>
                <w:rFonts w:ascii="Arial" w:hAnsi="Arial" w:cs="Arial"/>
                <w:b/>
                <w:bCs/>
                <w:noProof/>
                <w:color w:val="000000" w:themeColor="text1"/>
                <w:sz w:val="20"/>
                <w:szCs w:val="20"/>
              </w:rPr>
            </w:pPr>
            <w:r w:rsidRPr="0097016D">
              <w:rPr>
                <w:rFonts w:ascii="Arial" w:hAnsi="Arial" w:cs="Arial"/>
                <w:b/>
                <w:bCs/>
                <w:noProof/>
                <w:color w:val="000000" w:themeColor="text1"/>
                <w:sz w:val="20"/>
                <w:szCs w:val="20"/>
              </w:rPr>
              <w:t>75</w:t>
            </w:r>
          </w:p>
        </w:tc>
        <w:tc>
          <w:tcPr>
            <w:tcW w:w="850" w:type="dxa"/>
          </w:tcPr>
          <w:p w14:paraId="21240CAD" w14:textId="543FF407" w:rsidR="0097016D" w:rsidRPr="00D36B9A" w:rsidRDefault="0097016D" w:rsidP="0032003B">
            <w:pPr>
              <w:autoSpaceDE w:val="0"/>
              <w:autoSpaceDN w:val="0"/>
              <w:adjustRightInd w:val="0"/>
              <w:jc w:val="center"/>
              <w:rPr>
                <w:rFonts w:ascii="Arial" w:hAnsi="Arial" w:cs="Arial"/>
                <w:b/>
                <w:bCs/>
                <w:color w:val="FF0000"/>
                <w:sz w:val="20"/>
                <w:szCs w:val="20"/>
              </w:rPr>
            </w:pPr>
            <w:r>
              <w:rPr>
                <w:rFonts w:ascii="Arial" w:hAnsi="Arial" w:cs="Arial"/>
                <w:b/>
                <w:bCs/>
                <w:noProof/>
                <w:color w:val="000000"/>
                <w:sz w:val="20"/>
                <w:szCs w:val="20"/>
              </w:rPr>
              <w:drawing>
                <wp:inline distT="0" distB="0" distL="0" distR="0" wp14:anchorId="34819373" wp14:editId="6A02739F">
                  <wp:extent cx="164465" cy="19494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pic:spPr>
                      </pic:pic>
                    </a:graphicData>
                  </a:graphic>
                </wp:inline>
              </w:drawing>
            </w:r>
          </w:p>
        </w:tc>
      </w:tr>
      <w:tr w:rsidR="0097016D" w:rsidRPr="001913A4" w14:paraId="31141269" w14:textId="77777777" w:rsidTr="0032003B">
        <w:trPr>
          <w:trHeight w:val="77"/>
        </w:trPr>
        <w:tc>
          <w:tcPr>
            <w:tcW w:w="4503" w:type="dxa"/>
          </w:tcPr>
          <w:p w14:paraId="4CA88FB1" w14:textId="77777777" w:rsidR="0097016D" w:rsidRPr="00D41BAD" w:rsidRDefault="0097016D" w:rsidP="0032003B">
            <w:pPr>
              <w:autoSpaceDE w:val="0"/>
              <w:autoSpaceDN w:val="0"/>
              <w:adjustRightInd w:val="0"/>
              <w:spacing w:after="120"/>
              <w:rPr>
                <w:rFonts w:ascii="Arial" w:hAnsi="Arial" w:cs="Arial"/>
                <w:color w:val="000000"/>
                <w:sz w:val="20"/>
                <w:szCs w:val="20"/>
              </w:rPr>
            </w:pPr>
            <w:r w:rsidRPr="00D41BAD">
              <w:rPr>
                <w:rFonts w:ascii="Arial" w:hAnsi="Arial" w:cs="Arial"/>
                <w:color w:val="000000"/>
                <w:sz w:val="20"/>
                <w:szCs w:val="20"/>
              </w:rPr>
              <w:t xml:space="preserve">Reducing Fire Casualties and Fire Fatalities by 5% each year </w:t>
            </w:r>
          </w:p>
        </w:tc>
        <w:tc>
          <w:tcPr>
            <w:tcW w:w="987" w:type="dxa"/>
          </w:tcPr>
          <w:p w14:paraId="799D51A3" w14:textId="02F9D159"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13</w:t>
            </w:r>
          </w:p>
        </w:tc>
        <w:tc>
          <w:tcPr>
            <w:tcW w:w="992" w:type="dxa"/>
          </w:tcPr>
          <w:p w14:paraId="44E0F0F7" w14:textId="77777777" w:rsid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10</w:t>
            </w:r>
          </w:p>
          <w:p w14:paraId="2351E057" w14:textId="43DD8948" w:rsidR="0097016D" w:rsidRPr="0097016D" w:rsidRDefault="0097016D" w:rsidP="0032003B">
            <w:pPr>
              <w:autoSpaceDE w:val="0"/>
              <w:autoSpaceDN w:val="0"/>
              <w:adjustRightInd w:val="0"/>
              <w:jc w:val="center"/>
              <w:rPr>
                <w:rFonts w:ascii="Arial" w:hAnsi="Arial" w:cs="Arial"/>
                <w:b/>
                <w:color w:val="000000" w:themeColor="text1"/>
                <w:sz w:val="20"/>
                <w:szCs w:val="20"/>
              </w:rPr>
            </w:pPr>
          </w:p>
        </w:tc>
        <w:tc>
          <w:tcPr>
            <w:tcW w:w="992" w:type="dxa"/>
          </w:tcPr>
          <w:p w14:paraId="1718227B" w14:textId="16A9FBEF"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15</w:t>
            </w:r>
          </w:p>
        </w:tc>
        <w:tc>
          <w:tcPr>
            <w:tcW w:w="993" w:type="dxa"/>
            <w:gridSpan w:val="2"/>
          </w:tcPr>
          <w:p w14:paraId="13EF76FE" w14:textId="1232CE21"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12</w:t>
            </w:r>
          </w:p>
        </w:tc>
        <w:tc>
          <w:tcPr>
            <w:tcW w:w="992" w:type="dxa"/>
          </w:tcPr>
          <w:p w14:paraId="64B4AB7D" w14:textId="421A7459" w:rsidR="0097016D" w:rsidRPr="0097016D" w:rsidRDefault="0097016D" w:rsidP="0032003B">
            <w:pPr>
              <w:autoSpaceDE w:val="0"/>
              <w:autoSpaceDN w:val="0"/>
              <w:adjustRightInd w:val="0"/>
              <w:jc w:val="center"/>
              <w:rPr>
                <w:rFonts w:ascii="Arial" w:hAnsi="Arial" w:cs="Arial"/>
                <w:b/>
                <w:bCs/>
                <w:noProof/>
                <w:color w:val="000000" w:themeColor="text1"/>
                <w:sz w:val="20"/>
                <w:szCs w:val="20"/>
              </w:rPr>
            </w:pPr>
            <w:r>
              <w:rPr>
                <w:rFonts w:ascii="Arial" w:hAnsi="Arial" w:cs="Arial"/>
                <w:b/>
                <w:bCs/>
                <w:noProof/>
                <w:color w:val="000000" w:themeColor="text1"/>
                <w:sz w:val="20"/>
                <w:szCs w:val="20"/>
              </w:rPr>
              <w:t>13</w:t>
            </w:r>
          </w:p>
        </w:tc>
        <w:tc>
          <w:tcPr>
            <w:tcW w:w="850" w:type="dxa"/>
          </w:tcPr>
          <w:p w14:paraId="0223C39D" w14:textId="6DE9BC9B" w:rsidR="0097016D" w:rsidRDefault="0097016D" w:rsidP="0032003B">
            <w:pPr>
              <w:autoSpaceDE w:val="0"/>
              <w:autoSpaceDN w:val="0"/>
              <w:adjustRightInd w:val="0"/>
              <w:jc w:val="center"/>
              <w:rPr>
                <w:rFonts w:ascii="Arial" w:hAnsi="Arial" w:cs="Arial"/>
                <w:b/>
                <w:bCs/>
                <w:color w:val="000000"/>
                <w:sz w:val="20"/>
                <w:szCs w:val="20"/>
              </w:rPr>
            </w:pPr>
            <w:r>
              <w:rPr>
                <w:rFonts w:ascii="Arial" w:hAnsi="Arial" w:cs="Arial"/>
                <w:b/>
                <w:bCs/>
                <w:noProof/>
                <w:color w:val="000000"/>
                <w:sz w:val="20"/>
                <w:szCs w:val="20"/>
              </w:rPr>
              <w:drawing>
                <wp:inline distT="0" distB="0" distL="0" distR="0" wp14:anchorId="322B1A97" wp14:editId="7464CD4E">
                  <wp:extent cx="164465" cy="19494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pic:spPr>
                      </pic:pic>
                    </a:graphicData>
                  </a:graphic>
                </wp:inline>
              </w:drawing>
            </w:r>
          </w:p>
        </w:tc>
      </w:tr>
      <w:tr w:rsidR="0097016D" w:rsidRPr="001913A4" w14:paraId="72D95C2B" w14:textId="77777777" w:rsidTr="0032003B">
        <w:trPr>
          <w:trHeight w:val="77"/>
        </w:trPr>
        <w:tc>
          <w:tcPr>
            <w:tcW w:w="4503" w:type="dxa"/>
          </w:tcPr>
          <w:p w14:paraId="6A131EB6" w14:textId="0488FEF7" w:rsidR="0097016D" w:rsidRPr="00D41BAD" w:rsidRDefault="0097016D" w:rsidP="0032003B">
            <w:pPr>
              <w:autoSpaceDE w:val="0"/>
              <w:autoSpaceDN w:val="0"/>
              <w:adjustRightInd w:val="0"/>
              <w:spacing w:after="120"/>
              <w:rPr>
                <w:rFonts w:ascii="Arial" w:hAnsi="Arial" w:cs="Arial"/>
                <w:color w:val="000000"/>
                <w:sz w:val="20"/>
                <w:szCs w:val="20"/>
              </w:rPr>
            </w:pPr>
            <w:r w:rsidRPr="00D41BAD">
              <w:rPr>
                <w:rFonts w:ascii="Arial" w:hAnsi="Arial" w:cs="Arial"/>
                <w:color w:val="000000"/>
                <w:sz w:val="20"/>
                <w:szCs w:val="20"/>
              </w:rPr>
              <w:t xml:space="preserve">Reducing Casualties From Non-Fire Emergencies by 5% each year </w:t>
            </w:r>
          </w:p>
        </w:tc>
        <w:tc>
          <w:tcPr>
            <w:tcW w:w="987" w:type="dxa"/>
          </w:tcPr>
          <w:p w14:paraId="7A8E116B" w14:textId="4E6E0CB2"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bCs/>
                <w:color w:val="000000" w:themeColor="text1"/>
                <w:sz w:val="20"/>
                <w:szCs w:val="20"/>
              </w:rPr>
              <w:t>67</w:t>
            </w:r>
          </w:p>
        </w:tc>
        <w:tc>
          <w:tcPr>
            <w:tcW w:w="992" w:type="dxa"/>
          </w:tcPr>
          <w:p w14:paraId="373F25E4" w14:textId="1C500FCC"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bCs/>
                <w:color w:val="000000" w:themeColor="text1"/>
                <w:sz w:val="20"/>
                <w:szCs w:val="20"/>
              </w:rPr>
              <w:t>59</w:t>
            </w:r>
          </w:p>
        </w:tc>
        <w:tc>
          <w:tcPr>
            <w:tcW w:w="992" w:type="dxa"/>
          </w:tcPr>
          <w:p w14:paraId="0C9D6496" w14:textId="61E4DB79" w:rsidR="0097016D" w:rsidRPr="0097016D" w:rsidRDefault="0097016D" w:rsidP="0097016D">
            <w:pPr>
              <w:autoSpaceDE w:val="0"/>
              <w:autoSpaceDN w:val="0"/>
              <w:adjustRightInd w:val="0"/>
              <w:jc w:val="center"/>
              <w:rPr>
                <w:rFonts w:ascii="Arial" w:hAnsi="Arial" w:cs="Arial"/>
                <w:b/>
                <w:color w:val="000000" w:themeColor="text1"/>
                <w:sz w:val="20"/>
                <w:szCs w:val="20"/>
              </w:rPr>
            </w:pPr>
            <w:r>
              <w:rPr>
                <w:rFonts w:ascii="Arial" w:hAnsi="Arial" w:cs="Arial"/>
                <w:b/>
                <w:bCs/>
                <w:color w:val="000000" w:themeColor="text1"/>
                <w:sz w:val="20"/>
                <w:szCs w:val="20"/>
              </w:rPr>
              <w:t>116</w:t>
            </w:r>
          </w:p>
        </w:tc>
        <w:tc>
          <w:tcPr>
            <w:tcW w:w="993" w:type="dxa"/>
            <w:gridSpan w:val="2"/>
          </w:tcPr>
          <w:p w14:paraId="0D289048" w14:textId="5E9245F3"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77</w:t>
            </w:r>
          </w:p>
        </w:tc>
        <w:tc>
          <w:tcPr>
            <w:tcW w:w="992" w:type="dxa"/>
          </w:tcPr>
          <w:p w14:paraId="6833E010" w14:textId="2C92739D" w:rsidR="0097016D" w:rsidRPr="0097016D" w:rsidRDefault="0097016D" w:rsidP="0032003B">
            <w:pPr>
              <w:autoSpaceDE w:val="0"/>
              <w:autoSpaceDN w:val="0"/>
              <w:adjustRightInd w:val="0"/>
              <w:jc w:val="center"/>
              <w:rPr>
                <w:rFonts w:ascii="Arial" w:hAnsi="Arial" w:cs="Arial"/>
                <w:b/>
                <w:bCs/>
                <w:noProof/>
                <w:color w:val="000000" w:themeColor="text1"/>
                <w:sz w:val="20"/>
                <w:szCs w:val="20"/>
              </w:rPr>
            </w:pPr>
            <w:r>
              <w:rPr>
                <w:rFonts w:ascii="Arial" w:hAnsi="Arial" w:cs="Arial"/>
                <w:b/>
                <w:bCs/>
                <w:noProof/>
                <w:color w:val="000000" w:themeColor="text1"/>
                <w:sz w:val="20"/>
                <w:szCs w:val="20"/>
              </w:rPr>
              <w:t>90</w:t>
            </w:r>
          </w:p>
        </w:tc>
        <w:tc>
          <w:tcPr>
            <w:tcW w:w="850" w:type="dxa"/>
          </w:tcPr>
          <w:p w14:paraId="2927B1B6" w14:textId="3AF56D09" w:rsidR="0097016D" w:rsidRDefault="0097016D" w:rsidP="0032003B">
            <w:pPr>
              <w:autoSpaceDE w:val="0"/>
              <w:autoSpaceDN w:val="0"/>
              <w:adjustRightInd w:val="0"/>
              <w:jc w:val="center"/>
              <w:rPr>
                <w:rFonts w:ascii="Arial" w:hAnsi="Arial" w:cs="Arial"/>
                <w:b/>
                <w:bCs/>
                <w:color w:val="000000"/>
                <w:sz w:val="20"/>
                <w:szCs w:val="20"/>
              </w:rPr>
            </w:pPr>
            <w:r w:rsidRPr="00D36B9A">
              <w:rPr>
                <w:rFonts w:ascii="Arial" w:hAnsi="Arial" w:cs="Arial"/>
                <w:b/>
                <w:bCs/>
                <w:noProof/>
                <w:color w:val="FF0000"/>
                <w:sz w:val="20"/>
                <w:szCs w:val="20"/>
              </w:rPr>
              <mc:AlternateContent>
                <mc:Choice Requires="wps">
                  <w:drawing>
                    <wp:anchor distT="0" distB="0" distL="114300" distR="114300" simplePos="0" relativeHeight="251661312" behindDoc="0" locked="0" layoutInCell="1" allowOverlap="1" wp14:anchorId="2F06AD40" wp14:editId="7F8AA570">
                      <wp:simplePos x="0" y="0"/>
                      <wp:positionH relativeFrom="column">
                        <wp:posOffset>113665</wp:posOffset>
                      </wp:positionH>
                      <wp:positionV relativeFrom="paragraph">
                        <wp:posOffset>-22225</wp:posOffset>
                      </wp:positionV>
                      <wp:extent cx="152400" cy="180975"/>
                      <wp:effectExtent l="0" t="0" r="19050" b="28575"/>
                      <wp:wrapNone/>
                      <wp:docPr id="6" name="Oval 6"/>
                      <wp:cNvGraphicFramePr/>
                      <a:graphic xmlns:a="http://schemas.openxmlformats.org/drawingml/2006/main">
                        <a:graphicData uri="http://schemas.microsoft.com/office/word/2010/wordprocessingShape">
                          <wps:wsp>
                            <wps:cNvSpPr/>
                            <wps:spPr>
                              <a:xfrm>
                                <a:off x="0" y="0"/>
                                <a:ext cx="152400" cy="180975"/>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43722" id="Oval 6" o:spid="_x0000_s1026" style="position:absolute;margin-left:8.95pt;margin-top:-1.75pt;width:1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" fillcolor="red" strokecolor="#41719c" strokeweight="1pt">
                      <v:stroke joinstyle="miter"/>
                    </v:oval>
                  </w:pict>
                </mc:Fallback>
              </mc:AlternateContent>
            </w:r>
          </w:p>
        </w:tc>
      </w:tr>
      <w:tr w:rsidR="0097016D" w:rsidRPr="001913A4" w14:paraId="4DC4701A" w14:textId="77777777" w:rsidTr="0032003B">
        <w:trPr>
          <w:trHeight w:val="465"/>
        </w:trPr>
        <w:tc>
          <w:tcPr>
            <w:tcW w:w="4503" w:type="dxa"/>
          </w:tcPr>
          <w:p w14:paraId="17B1E1A6" w14:textId="77777777" w:rsidR="0097016D" w:rsidRPr="00D41BAD" w:rsidRDefault="0097016D" w:rsidP="0032003B">
            <w:pPr>
              <w:autoSpaceDE w:val="0"/>
              <w:autoSpaceDN w:val="0"/>
              <w:adjustRightInd w:val="0"/>
              <w:spacing w:before="240" w:after="120"/>
              <w:contextualSpacing/>
              <w:rPr>
                <w:rFonts w:ascii="Arial" w:hAnsi="Arial" w:cs="Arial"/>
                <w:color w:val="000000"/>
                <w:sz w:val="20"/>
                <w:szCs w:val="20"/>
              </w:rPr>
            </w:pPr>
            <w:r w:rsidRPr="00D41BAD">
              <w:rPr>
                <w:rFonts w:ascii="Arial" w:hAnsi="Arial" w:cs="Arial"/>
                <w:color w:val="000000"/>
                <w:sz w:val="20"/>
                <w:szCs w:val="20"/>
              </w:rPr>
              <w:t xml:space="preserve">Reducing Deliberate Fire Setting by 5% each year </w:t>
            </w:r>
          </w:p>
        </w:tc>
        <w:tc>
          <w:tcPr>
            <w:tcW w:w="987" w:type="dxa"/>
          </w:tcPr>
          <w:p w14:paraId="1E2A52E1" w14:textId="7B0EFFE3"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114</w:t>
            </w:r>
          </w:p>
        </w:tc>
        <w:tc>
          <w:tcPr>
            <w:tcW w:w="992" w:type="dxa"/>
          </w:tcPr>
          <w:p w14:paraId="58BA56B5" w14:textId="097BA054"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99</w:t>
            </w:r>
          </w:p>
        </w:tc>
        <w:tc>
          <w:tcPr>
            <w:tcW w:w="992" w:type="dxa"/>
          </w:tcPr>
          <w:p w14:paraId="7F9D36D7" w14:textId="66C2698A"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199</w:t>
            </w:r>
          </w:p>
        </w:tc>
        <w:tc>
          <w:tcPr>
            <w:tcW w:w="993" w:type="dxa"/>
            <w:gridSpan w:val="2"/>
          </w:tcPr>
          <w:p w14:paraId="4D4DD52F" w14:textId="4B57C7B9" w:rsidR="0097016D" w:rsidRPr="0097016D" w:rsidRDefault="0097016D"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130</w:t>
            </w:r>
          </w:p>
        </w:tc>
        <w:tc>
          <w:tcPr>
            <w:tcW w:w="992" w:type="dxa"/>
          </w:tcPr>
          <w:p w14:paraId="3DF84850" w14:textId="0195CFF7" w:rsidR="0097016D" w:rsidRPr="0097016D" w:rsidRDefault="0097016D" w:rsidP="0032003B">
            <w:pPr>
              <w:autoSpaceDE w:val="0"/>
              <w:autoSpaceDN w:val="0"/>
              <w:adjustRightInd w:val="0"/>
              <w:jc w:val="center"/>
              <w:rPr>
                <w:rFonts w:ascii="Arial" w:hAnsi="Arial" w:cs="Arial"/>
                <w:b/>
                <w:bCs/>
                <w:noProof/>
                <w:color w:val="000000" w:themeColor="text1"/>
                <w:sz w:val="20"/>
                <w:szCs w:val="20"/>
              </w:rPr>
            </w:pPr>
            <w:r>
              <w:rPr>
                <w:rFonts w:ascii="Arial" w:hAnsi="Arial" w:cs="Arial"/>
                <w:b/>
                <w:bCs/>
                <w:noProof/>
                <w:color w:val="000000" w:themeColor="text1"/>
                <w:sz w:val="20"/>
                <w:szCs w:val="20"/>
              </w:rPr>
              <w:t>183</w:t>
            </w:r>
          </w:p>
        </w:tc>
        <w:tc>
          <w:tcPr>
            <w:tcW w:w="850" w:type="dxa"/>
          </w:tcPr>
          <w:p w14:paraId="78FAEF8A" w14:textId="0A057FE6" w:rsidR="0097016D" w:rsidRDefault="0097016D" w:rsidP="0032003B">
            <w:pPr>
              <w:autoSpaceDE w:val="0"/>
              <w:autoSpaceDN w:val="0"/>
              <w:adjustRightInd w:val="0"/>
              <w:jc w:val="center"/>
              <w:rPr>
                <w:rFonts w:ascii="Arial" w:hAnsi="Arial" w:cs="Arial"/>
                <w:b/>
                <w:bCs/>
                <w:color w:val="000000"/>
                <w:sz w:val="20"/>
                <w:szCs w:val="20"/>
              </w:rPr>
            </w:pPr>
            <w:r w:rsidRPr="00D36B9A">
              <w:rPr>
                <w:rFonts w:ascii="Arial" w:hAnsi="Arial" w:cs="Arial"/>
                <w:b/>
                <w:bCs/>
                <w:noProof/>
                <w:color w:val="FF0000"/>
                <w:sz w:val="20"/>
                <w:szCs w:val="20"/>
              </w:rPr>
              <mc:AlternateContent>
                <mc:Choice Requires="wps">
                  <w:drawing>
                    <wp:anchor distT="0" distB="0" distL="114300" distR="114300" simplePos="0" relativeHeight="251663360" behindDoc="0" locked="0" layoutInCell="1" allowOverlap="1" wp14:anchorId="10085740" wp14:editId="19887E2A">
                      <wp:simplePos x="0" y="0"/>
                      <wp:positionH relativeFrom="column">
                        <wp:posOffset>112395</wp:posOffset>
                      </wp:positionH>
                      <wp:positionV relativeFrom="paragraph">
                        <wp:posOffset>-38100</wp:posOffset>
                      </wp:positionV>
                      <wp:extent cx="152400" cy="180975"/>
                      <wp:effectExtent l="0" t="0" r="19050" b="28575"/>
                      <wp:wrapNone/>
                      <wp:docPr id="7" name="Oval 7"/>
                      <wp:cNvGraphicFramePr/>
                      <a:graphic xmlns:a="http://schemas.openxmlformats.org/drawingml/2006/main">
                        <a:graphicData uri="http://schemas.microsoft.com/office/word/2010/wordprocessingShape">
                          <wps:wsp>
                            <wps:cNvSpPr/>
                            <wps:spPr>
                              <a:xfrm>
                                <a:off x="0" y="0"/>
                                <a:ext cx="152400" cy="180975"/>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AABEF" id="Oval 7" o:spid="_x0000_s1026" style="position:absolute;margin-left:8.85pt;margin-top:-3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" fillcolor="red" strokecolor="#41719c" strokeweight="1pt">
                      <v:stroke joinstyle="miter"/>
                    </v:oval>
                  </w:pict>
                </mc:Fallback>
              </mc:AlternateContent>
            </w:r>
          </w:p>
        </w:tc>
      </w:tr>
      <w:tr w:rsidR="0097016D" w:rsidRPr="001913A4" w14:paraId="72D88356" w14:textId="77777777" w:rsidTr="0032003B">
        <w:trPr>
          <w:trHeight w:val="77"/>
        </w:trPr>
        <w:tc>
          <w:tcPr>
            <w:tcW w:w="4503" w:type="dxa"/>
          </w:tcPr>
          <w:p w14:paraId="040D6FBD" w14:textId="77777777" w:rsidR="0097016D" w:rsidRPr="00D41BAD" w:rsidRDefault="0097016D" w:rsidP="0032003B">
            <w:pPr>
              <w:autoSpaceDE w:val="0"/>
              <w:autoSpaceDN w:val="0"/>
              <w:adjustRightInd w:val="0"/>
              <w:spacing w:after="120"/>
              <w:rPr>
                <w:rFonts w:ascii="Arial" w:hAnsi="Arial" w:cs="Arial"/>
                <w:color w:val="000000"/>
                <w:sz w:val="20"/>
                <w:szCs w:val="20"/>
              </w:rPr>
            </w:pPr>
            <w:r w:rsidRPr="00D41BAD">
              <w:rPr>
                <w:rFonts w:ascii="Arial" w:hAnsi="Arial" w:cs="Arial"/>
                <w:color w:val="000000"/>
                <w:sz w:val="20"/>
                <w:szCs w:val="20"/>
              </w:rPr>
              <w:t xml:space="preserve">Reducing Fires in Non-Domestic Property by 5% each year </w:t>
            </w:r>
          </w:p>
        </w:tc>
        <w:tc>
          <w:tcPr>
            <w:tcW w:w="987" w:type="dxa"/>
          </w:tcPr>
          <w:p w14:paraId="1284546B" w14:textId="420838FC"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45</w:t>
            </w:r>
          </w:p>
        </w:tc>
        <w:tc>
          <w:tcPr>
            <w:tcW w:w="992" w:type="dxa"/>
          </w:tcPr>
          <w:p w14:paraId="79A74D88" w14:textId="507EFDED"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40</w:t>
            </w:r>
          </w:p>
        </w:tc>
        <w:tc>
          <w:tcPr>
            <w:tcW w:w="992" w:type="dxa"/>
          </w:tcPr>
          <w:p w14:paraId="2256513F" w14:textId="32E059E5"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72</w:t>
            </w:r>
          </w:p>
        </w:tc>
        <w:tc>
          <w:tcPr>
            <w:tcW w:w="993" w:type="dxa"/>
            <w:gridSpan w:val="2"/>
          </w:tcPr>
          <w:p w14:paraId="647794A8" w14:textId="06356197"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50</w:t>
            </w:r>
          </w:p>
        </w:tc>
        <w:tc>
          <w:tcPr>
            <w:tcW w:w="992" w:type="dxa"/>
          </w:tcPr>
          <w:p w14:paraId="5A8EE8C4" w14:textId="48EDA111" w:rsidR="0097016D" w:rsidRPr="0097016D" w:rsidRDefault="001C7E09" w:rsidP="0032003B">
            <w:pPr>
              <w:autoSpaceDE w:val="0"/>
              <w:autoSpaceDN w:val="0"/>
              <w:adjustRightInd w:val="0"/>
              <w:jc w:val="center"/>
              <w:rPr>
                <w:rFonts w:ascii="Arial" w:hAnsi="Arial" w:cs="Arial"/>
                <w:b/>
                <w:bCs/>
                <w:noProof/>
                <w:color w:val="000000" w:themeColor="text1"/>
                <w:sz w:val="20"/>
                <w:szCs w:val="20"/>
              </w:rPr>
            </w:pPr>
            <w:r>
              <w:rPr>
                <w:rFonts w:ascii="Arial" w:hAnsi="Arial" w:cs="Arial"/>
                <w:b/>
                <w:bCs/>
                <w:noProof/>
                <w:color w:val="000000" w:themeColor="text1"/>
                <w:sz w:val="20"/>
                <w:szCs w:val="20"/>
              </w:rPr>
              <w:t>44</w:t>
            </w:r>
          </w:p>
        </w:tc>
        <w:tc>
          <w:tcPr>
            <w:tcW w:w="850" w:type="dxa"/>
          </w:tcPr>
          <w:p w14:paraId="37848B15" w14:textId="77777777" w:rsidR="0097016D" w:rsidRDefault="0097016D" w:rsidP="0032003B">
            <w:pPr>
              <w:autoSpaceDE w:val="0"/>
              <w:autoSpaceDN w:val="0"/>
              <w:adjustRightInd w:val="0"/>
              <w:jc w:val="center"/>
              <w:rPr>
                <w:rFonts w:ascii="Arial" w:hAnsi="Arial" w:cs="Arial"/>
                <w:b/>
                <w:bCs/>
                <w:color w:val="000000"/>
                <w:sz w:val="20"/>
                <w:szCs w:val="20"/>
              </w:rPr>
            </w:pPr>
            <w:r>
              <w:rPr>
                <w:rFonts w:ascii="Arial" w:hAnsi="Arial" w:cs="Arial"/>
                <w:b/>
                <w:bCs/>
                <w:noProof/>
                <w:color w:val="000000"/>
                <w:sz w:val="20"/>
                <w:szCs w:val="20"/>
              </w:rPr>
              <w:drawing>
                <wp:inline distT="0" distB="0" distL="0" distR="0" wp14:anchorId="759BF384" wp14:editId="7ADA0B08">
                  <wp:extent cx="164465" cy="19494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pic:spPr>
                      </pic:pic>
                    </a:graphicData>
                  </a:graphic>
                </wp:inline>
              </w:drawing>
            </w:r>
          </w:p>
        </w:tc>
      </w:tr>
      <w:tr w:rsidR="0097016D" w:rsidRPr="001913A4" w14:paraId="45B0E9D0" w14:textId="77777777" w:rsidTr="0032003B">
        <w:trPr>
          <w:trHeight w:val="76"/>
        </w:trPr>
        <w:tc>
          <w:tcPr>
            <w:tcW w:w="4503" w:type="dxa"/>
          </w:tcPr>
          <w:p w14:paraId="77336ADB" w14:textId="77777777" w:rsidR="0097016D" w:rsidRPr="00D41BAD" w:rsidRDefault="0097016D" w:rsidP="0032003B">
            <w:pPr>
              <w:autoSpaceDE w:val="0"/>
              <w:autoSpaceDN w:val="0"/>
              <w:adjustRightInd w:val="0"/>
              <w:spacing w:after="120"/>
              <w:rPr>
                <w:rFonts w:ascii="Arial" w:hAnsi="Arial" w:cs="Arial"/>
                <w:color w:val="000000"/>
                <w:sz w:val="20"/>
                <w:szCs w:val="20"/>
              </w:rPr>
            </w:pPr>
            <w:r w:rsidRPr="00D41BAD">
              <w:rPr>
                <w:rFonts w:ascii="Arial" w:hAnsi="Arial" w:cs="Arial"/>
                <w:color w:val="000000"/>
                <w:sz w:val="20"/>
                <w:szCs w:val="20"/>
              </w:rPr>
              <w:t xml:space="preserve">Reducing Unwanted Fire Alarm Signals by 5% each year </w:t>
            </w:r>
          </w:p>
        </w:tc>
        <w:tc>
          <w:tcPr>
            <w:tcW w:w="987" w:type="dxa"/>
          </w:tcPr>
          <w:p w14:paraId="0A975410" w14:textId="09D546A8"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865</w:t>
            </w:r>
          </w:p>
        </w:tc>
        <w:tc>
          <w:tcPr>
            <w:tcW w:w="992" w:type="dxa"/>
          </w:tcPr>
          <w:p w14:paraId="6A80B111" w14:textId="7FA22E3A"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800</w:t>
            </w:r>
          </w:p>
        </w:tc>
        <w:tc>
          <w:tcPr>
            <w:tcW w:w="992" w:type="dxa"/>
          </w:tcPr>
          <w:p w14:paraId="6615CF69" w14:textId="0BD4646E"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775</w:t>
            </w:r>
          </w:p>
        </w:tc>
        <w:tc>
          <w:tcPr>
            <w:tcW w:w="993" w:type="dxa"/>
            <w:gridSpan w:val="2"/>
          </w:tcPr>
          <w:p w14:paraId="6DC2E11C" w14:textId="6E1D7F17" w:rsidR="0097016D" w:rsidRPr="0097016D" w:rsidRDefault="001C7E09" w:rsidP="0032003B">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773</w:t>
            </w:r>
          </w:p>
        </w:tc>
        <w:tc>
          <w:tcPr>
            <w:tcW w:w="992" w:type="dxa"/>
          </w:tcPr>
          <w:p w14:paraId="6842D393" w14:textId="7CA178DB" w:rsidR="0097016D" w:rsidRPr="0097016D" w:rsidRDefault="001C7E09" w:rsidP="0032003B">
            <w:pPr>
              <w:autoSpaceDE w:val="0"/>
              <w:autoSpaceDN w:val="0"/>
              <w:adjustRightInd w:val="0"/>
              <w:jc w:val="center"/>
              <w:rPr>
                <w:rFonts w:ascii="Arial" w:hAnsi="Arial" w:cs="Arial"/>
                <w:b/>
                <w:noProof/>
                <w:color w:val="000000" w:themeColor="text1"/>
                <w:sz w:val="20"/>
                <w:szCs w:val="20"/>
              </w:rPr>
            </w:pPr>
            <w:r>
              <w:rPr>
                <w:rFonts w:ascii="Arial" w:hAnsi="Arial" w:cs="Arial"/>
                <w:b/>
                <w:noProof/>
                <w:color w:val="000000" w:themeColor="text1"/>
                <w:sz w:val="20"/>
                <w:szCs w:val="20"/>
              </w:rPr>
              <w:t>935</w:t>
            </w:r>
          </w:p>
        </w:tc>
        <w:tc>
          <w:tcPr>
            <w:tcW w:w="850" w:type="dxa"/>
          </w:tcPr>
          <w:p w14:paraId="66BB9786" w14:textId="77777777" w:rsidR="0097016D" w:rsidRDefault="0097016D" w:rsidP="0032003B">
            <w:pPr>
              <w:autoSpaceDE w:val="0"/>
              <w:autoSpaceDN w:val="0"/>
              <w:adjustRightInd w:val="0"/>
              <w:jc w:val="center"/>
              <w:rPr>
                <w:rFonts w:ascii="Arial" w:hAnsi="Arial" w:cs="Arial"/>
                <w:b/>
                <w:color w:val="000000"/>
                <w:sz w:val="20"/>
                <w:szCs w:val="20"/>
              </w:rPr>
            </w:pPr>
            <w:r>
              <w:rPr>
                <w:rFonts w:ascii="Arial" w:hAnsi="Arial" w:cs="Arial"/>
                <w:b/>
                <w:noProof/>
                <w:color w:val="000000"/>
                <w:sz w:val="20"/>
                <w:szCs w:val="20"/>
              </w:rPr>
              <w:drawing>
                <wp:inline distT="0" distB="0" distL="0" distR="0" wp14:anchorId="19E62A52" wp14:editId="2DF23B5F">
                  <wp:extent cx="164465" cy="19494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pic:spPr>
                      </pic:pic>
                    </a:graphicData>
                  </a:graphic>
                </wp:inline>
              </w:drawing>
            </w:r>
          </w:p>
        </w:tc>
      </w:tr>
    </w:tbl>
    <w:p w14:paraId="289C746B" w14:textId="77777777" w:rsidR="0097016D" w:rsidRDefault="0097016D" w:rsidP="00AA596A">
      <w:pPr>
        <w:jc w:val="both"/>
        <w:rPr>
          <w:rFonts w:ascii="Arial" w:hAnsi="Arial" w:cs="Arial"/>
          <w:sz w:val="22"/>
          <w:szCs w:val="22"/>
        </w:rPr>
      </w:pPr>
    </w:p>
    <w:p w14:paraId="3575643E" w14:textId="77777777" w:rsidR="0097016D" w:rsidRDefault="0097016D" w:rsidP="00AA596A">
      <w:pPr>
        <w:jc w:val="both"/>
        <w:rPr>
          <w:rFonts w:ascii="Arial" w:hAnsi="Arial" w:cs="Arial"/>
          <w:sz w:val="22"/>
          <w:szCs w:val="22"/>
        </w:rPr>
      </w:pPr>
    </w:p>
    <w:p w14:paraId="75F71C2F" w14:textId="77777777" w:rsidR="00AA596A" w:rsidRPr="001C7E09" w:rsidRDefault="00AA596A" w:rsidP="00AA596A">
      <w:pPr>
        <w:jc w:val="both"/>
        <w:rPr>
          <w:rFonts w:ascii="Arial" w:hAnsi="Arial" w:cs="Arial"/>
          <w:sz w:val="20"/>
          <w:szCs w:val="20"/>
        </w:rPr>
      </w:pPr>
      <w:r w:rsidRPr="001C7E09">
        <w:rPr>
          <w:rFonts w:ascii="Arial" w:hAnsi="Arial" w:cs="Arial"/>
          <w:sz w:val="20"/>
          <w:szCs w:val="20"/>
        </w:rPr>
        <w:t>*2016/17 target based on rolling three-year average**Current progress this year against three-year average</w:t>
      </w:r>
    </w:p>
    <w:p w14:paraId="191B6DB7" w14:textId="77777777" w:rsidR="00AA596A" w:rsidRPr="00AA596A" w:rsidRDefault="00AA596A" w:rsidP="00AA596A">
      <w:pPr>
        <w:spacing w:before="100" w:beforeAutospacing="1" w:after="100" w:afterAutospacing="1" w:line="276" w:lineRule="auto"/>
        <w:jc w:val="both"/>
        <w:rPr>
          <w:rFonts w:ascii="Arial" w:hAnsi="Arial" w:cs="Arial"/>
          <w:b/>
          <w:iCs/>
          <w:color w:val="A6192E"/>
          <w:sz w:val="22"/>
          <w:szCs w:val="22"/>
        </w:rPr>
      </w:pPr>
    </w:p>
    <w:p w14:paraId="17CDDF29" w14:textId="15CE9C52" w:rsidR="00B53F21" w:rsidRPr="00564416" w:rsidRDefault="007C60DC" w:rsidP="00564416">
      <w:pPr>
        <w:spacing w:before="100" w:beforeAutospacing="1" w:after="100" w:afterAutospacing="1" w:line="276" w:lineRule="auto"/>
        <w:jc w:val="both"/>
        <w:rPr>
          <w:rFonts w:ascii="Arial" w:hAnsi="Arial" w:cs="Arial"/>
          <w:color w:val="A6192E"/>
          <w:sz w:val="22"/>
          <w:szCs w:val="22"/>
        </w:rPr>
      </w:pPr>
      <w:r>
        <w:rPr>
          <w:rFonts w:ascii="Arial" w:hAnsi="Arial" w:cs="Arial"/>
          <w:b/>
          <w:iCs/>
          <w:color w:val="A6192E"/>
          <w:sz w:val="28"/>
          <w:szCs w:val="28"/>
        </w:rPr>
        <w:lastRenderedPageBreak/>
        <w:t>Reduction in Accidental Dwelling Fires</w:t>
      </w:r>
      <w:r w:rsidR="005127CB">
        <w:rPr>
          <w:rFonts w:ascii="Arial" w:hAnsi="Arial" w:cs="Arial"/>
          <w:b/>
          <w:iCs/>
          <w:color w:val="A6192E"/>
          <w:sz w:val="28"/>
          <w:szCs w:val="28"/>
        </w:rPr>
        <w:tab/>
      </w:r>
    </w:p>
    <w:p w14:paraId="61C4F258" w14:textId="77777777" w:rsidR="007C60DC" w:rsidRDefault="007C60DC" w:rsidP="007C60DC">
      <w:pPr>
        <w:jc w:val="both"/>
        <w:rPr>
          <w:rFonts w:ascii="Arial" w:hAnsi="Arial" w:cs="Arial"/>
          <w:b/>
          <w:sz w:val="22"/>
          <w:szCs w:val="22"/>
        </w:rPr>
      </w:pPr>
      <w:r w:rsidRPr="007C60DC">
        <w:rPr>
          <w:rFonts w:ascii="Arial" w:hAnsi="Arial" w:cs="Arial"/>
          <w:b/>
          <w:sz w:val="22"/>
          <w:szCs w:val="22"/>
        </w:rPr>
        <w:t>Performance Explained</w:t>
      </w:r>
    </w:p>
    <w:p w14:paraId="56ECB24A" w14:textId="77777777" w:rsidR="007C60DC" w:rsidRPr="007C60DC" w:rsidRDefault="007C60DC" w:rsidP="007C60DC">
      <w:pPr>
        <w:jc w:val="both"/>
        <w:rPr>
          <w:rFonts w:ascii="Arial" w:hAnsi="Arial" w:cs="Arial"/>
          <w:b/>
          <w:sz w:val="22"/>
          <w:szCs w:val="22"/>
        </w:rPr>
      </w:pPr>
    </w:p>
    <w:p w14:paraId="5B9215F9" w14:textId="77777777" w:rsidR="007C60DC" w:rsidRDefault="007C60DC" w:rsidP="007C60DC">
      <w:pPr>
        <w:jc w:val="both"/>
        <w:rPr>
          <w:rFonts w:ascii="Arial" w:hAnsi="Arial" w:cs="Arial"/>
          <w:sz w:val="22"/>
          <w:szCs w:val="22"/>
        </w:rPr>
      </w:pPr>
      <w:r w:rsidRPr="007C60DC">
        <w:rPr>
          <w:rFonts w:ascii="Arial" w:hAnsi="Arial" w:cs="Arial"/>
          <w:sz w:val="22"/>
          <w:szCs w:val="22"/>
        </w:rPr>
        <w:t xml:space="preserve">Current performance when compared to the three year average target for 2016/17 is classed as </w:t>
      </w:r>
      <w:r w:rsidRPr="00727641">
        <w:rPr>
          <w:rFonts w:ascii="Arial" w:hAnsi="Arial" w:cs="Arial"/>
          <w:b/>
          <w:sz w:val="22"/>
          <w:szCs w:val="22"/>
        </w:rPr>
        <w:t>Green</w:t>
      </w:r>
      <w:r w:rsidRPr="007C60DC">
        <w:rPr>
          <w:rFonts w:ascii="Arial" w:hAnsi="Arial" w:cs="Arial"/>
          <w:sz w:val="22"/>
          <w:szCs w:val="22"/>
        </w:rPr>
        <w:t xml:space="preserve"> following a rise in the number of accidental dwelling fires last year, this year has returned to below target. In reviewing data over the last 5 years, the rate of accidental dwelling fires per 10,000 population within Stirling is 8.21, which is 19</w:t>
      </w:r>
      <w:r w:rsidRPr="007C60DC">
        <w:rPr>
          <w:rFonts w:ascii="Arial" w:hAnsi="Arial" w:cs="Arial"/>
          <w:sz w:val="22"/>
          <w:szCs w:val="22"/>
          <w:vertAlign w:val="superscript"/>
        </w:rPr>
        <w:t>th</w:t>
      </w:r>
      <w:r w:rsidRPr="007C60DC">
        <w:rPr>
          <w:rFonts w:ascii="Arial" w:hAnsi="Arial" w:cs="Arial"/>
          <w:sz w:val="22"/>
          <w:szCs w:val="22"/>
        </w:rPr>
        <w:t xml:space="preserve"> lowest when compared against all local authorities.</w:t>
      </w:r>
    </w:p>
    <w:p w14:paraId="56289E79" w14:textId="77777777" w:rsidR="001C7E09" w:rsidRPr="007C60DC" w:rsidRDefault="001C7E09" w:rsidP="007C60DC">
      <w:pPr>
        <w:jc w:val="both"/>
        <w:rPr>
          <w:rFonts w:ascii="Arial" w:hAnsi="Arial" w:cs="Arial"/>
          <w:sz w:val="22"/>
          <w:szCs w:val="22"/>
        </w:rPr>
      </w:pPr>
    </w:p>
    <w:p w14:paraId="0E61E2E7" w14:textId="77777777" w:rsidR="007C60DC" w:rsidRDefault="007C60DC" w:rsidP="001C7E09">
      <w:pPr>
        <w:jc w:val="center"/>
        <w:rPr>
          <w:rFonts w:ascii="Arial" w:hAnsi="Arial" w:cs="Arial"/>
        </w:rPr>
      </w:pPr>
      <w:r>
        <w:rPr>
          <w:rFonts w:ascii="Arial" w:hAnsi="Arial" w:cs="Arial"/>
          <w:noProof/>
        </w:rPr>
        <w:drawing>
          <wp:inline distT="0" distB="0" distL="0" distR="0" wp14:anchorId="337443F5" wp14:editId="5043DAAA">
            <wp:extent cx="3947160" cy="2194560"/>
            <wp:effectExtent l="0" t="0" r="1524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546551" w14:textId="77777777" w:rsidR="001C7E09" w:rsidRDefault="001C7E09" w:rsidP="007C60DC">
      <w:pPr>
        <w:jc w:val="both"/>
        <w:rPr>
          <w:rFonts w:ascii="Arial" w:hAnsi="Arial" w:cs="Arial"/>
          <w:sz w:val="22"/>
          <w:szCs w:val="22"/>
        </w:rPr>
      </w:pPr>
    </w:p>
    <w:p w14:paraId="4B34BF2B" w14:textId="18F273CC" w:rsidR="00757EB1" w:rsidRDefault="007C60DC" w:rsidP="001C7E09">
      <w:pPr>
        <w:jc w:val="both"/>
        <w:rPr>
          <w:rFonts w:ascii="Arial" w:hAnsi="Arial" w:cs="Arial"/>
          <w:iCs/>
          <w:sz w:val="22"/>
          <w:szCs w:val="22"/>
        </w:rPr>
      </w:pPr>
      <w:r w:rsidRPr="007C60DC">
        <w:rPr>
          <w:rFonts w:ascii="Arial" w:hAnsi="Arial" w:cs="Arial"/>
          <w:sz w:val="22"/>
          <w:szCs w:val="22"/>
        </w:rPr>
        <w:t xml:space="preserve">The annual trend line for accidental dwelling fires is currently rising, however 2016/17 projecting significant improvement and is below target. </w:t>
      </w:r>
      <w:r w:rsidR="001C7E09">
        <w:rPr>
          <w:rFonts w:ascii="Arial" w:hAnsi="Arial" w:cs="Arial"/>
          <w:sz w:val="22"/>
          <w:szCs w:val="22"/>
        </w:rPr>
        <w:t xml:space="preserve"> </w:t>
      </w:r>
      <w:r w:rsidRPr="007C60DC">
        <w:rPr>
          <w:rFonts w:ascii="Arial" w:hAnsi="Arial" w:cs="Arial"/>
          <w:sz w:val="22"/>
          <w:szCs w:val="22"/>
        </w:rPr>
        <w:t>Analysis of accidental dwelling fires over the past five years have determined the most common cause being attributed to cooking, accounting for 50% of all incidents. The severity of fires within the home can vary from the incident being dealt with by the occupier with little or no damage occurring to incidents where direct firefighting is undertaken by the SFRS. Approximately 31% incidents require the SFRS to undertake direct firefighting. Early warning is key to alerting occupants and over the last five years, 75% of properties affected by fire had smoke or heat detection present which, when present, has raised the alarm on 68% of occasions with 36% originating from domestic linked alarm systems. On average 47% of incidents resulted in heat or smoke damage only.</w:t>
      </w:r>
    </w:p>
    <w:p w14:paraId="007418BF" w14:textId="64B65862" w:rsidR="00E36A6A" w:rsidRDefault="00E36A6A" w:rsidP="00AF1ED0">
      <w:pPr>
        <w:autoSpaceDE w:val="0"/>
        <w:autoSpaceDN w:val="0"/>
        <w:adjustRightInd w:val="0"/>
        <w:jc w:val="both"/>
        <w:rPr>
          <w:rFonts w:ascii="Arial" w:hAnsi="Arial" w:cs="Arial"/>
          <w:iCs/>
          <w:sz w:val="22"/>
          <w:szCs w:val="22"/>
        </w:rPr>
      </w:pPr>
    </w:p>
    <w:p w14:paraId="1B10C08C" w14:textId="77777777" w:rsidR="007C60DC" w:rsidRDefault="007C60DC" w:rsidP="007C60DC">
      <w:pPr>
        <w:rPr>
          <w:rFonts w:ascii="Arial" w:hAnsi="Arial" w:cs="Arial"/>
          <w:color w:val="FF0000"/>
          <w:u w:val="single"/>
        </w:rPr>
      </w:pPr>
      <w:r w:rsidRPr="00155062">
        <w:rPr>
          <w:rFonts w:ascii="Arial" w:hAnsi="Arial" w:cs="Arial"/>
          <w:noProof/>
          <w:color w:val="FF0000"/>
        </w:rPr>
        <w:drawing>
          <wp:inline distT="0" distB="0" distL="0" distR="0" wp14:anchorId="6CB78064" wp14:editId="7052658B">
            <wp:extent cx="3063240" cy="3078480"/>
            <wp:effectExtent l="0" t="0" r="3810" b="762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Arial" w:hAnsi="Arial" w:cs="Arial"/>
          <w:color w:val="FF0000"/>
          <w:u w:val="single"/>
        </w:rPr>
        <w:t xml:space="preserve">  </w:t>
      </w:r>
      <w:r w:rsidRPr="00155062">
        <w:rPr>
          <w:rFonts w:ascii="Arial" w:hAnsi="Arial" w:cs="Arial"/>
          <w:noProof/>
          <w:color w:val="FF0000"/>
        </w:rPr>
        <w:drawing>
          <wp:inline distT="0" distB="0" distL="0" distR="0" wp14:anchorId="6EC35C1F" wp14:editId="2D4E3829">
            <wp:extent cx="2887980" cy="3063240"/>
            <wp:effectExtent l="0" t="0" r="762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35135C" w14:textId="79C55C3F" w:rsidR="00E36A6A" w:rsidRDefault="007C60DC" w:rsidP="00AF1ED0">
      <w:pPr>
        <w:autoSpaceDE w:val="0"/>
        <w:autoSpaceDN w:val="0"/>
        <w:adjustRightInd w:val="0"/>
        <w:jc w:val="both"/>
        <w:rPr>
          <w:rFonts w:ascii="Arial" w:hAnsi="Arial" w:cs="Arial"/>
          <w:b/>
          <w:iCs/>
          <w:color w:val="A6192E"/>
          <w:sz w:val="28"/>
          <w:szCs w:val="28"/>
        </w:rPr>
      </w:pPr>
      <w:r>
        <w:rPr>
          <w:rFonts w:ascii="Arial" w:hAnsi="Arial" w:cs="Arial"/>
          <w:b/>
          <w:iCs/>
          <w:color w:val="A6192E"/>
          <w:sz w:val="28"/>
          <w:szCs w:val="28"/>
        </w:rPr>
        <w:lastRenderedPageBreak/>
        <w:t>Reduction of Fire Casualties</w:t>
      </w:r>
    </w:p>
    <w:p w14:paraId="15BA7DB2" w14:textId="77777777" w:rsidR="00B31F46" w:rsidRDefault="00B31F46" w:rsidP="00AF1ED0">
      <w:pPr>
        <w:autoSpaceDE w:val="0"/>
        <w:autoSpaceDN w:val="0"/>
        <w:adjustRightInd w:val="0"/>
        <w:jc w:val="both"/>
        <w:rPr>
          <w:rFonts w:ascii="Arial" w:hAnsi="Arial" w:cs="Arial"/>
          <w:b/>
          <w:iCs/>
          <w:color w:val="A6192E"/>
          <w:sz w:val="28"/>
          <w:szCs w:val="28"/>
        </w:rPr>
      </w:pPr>
    </w:p>
    <w:p w14:paraId="4A7A6DD2" w14:textId="77777777" w:rsidR="00B31F46" w:rsidRDefault="00B31F46" w:rsidP="00B31F46">
      <w:pPr>
        <w:rPr>
          <w:rFonts w:ascii="Arial" w:hAnsi="Arial" w:cs="Arial"/>
          <w:b/>
        </w:rPr>
      </w:pPr>
      <w:r w:rsidRPr="00404D19">
        <w:rPr>
          <w:rFonts w:ascii="Arial" w:hAnsi="Arial" w:cs="Arial"/>
          <w:b/>
        </w:rPr>
        <w:t>Performance Explained</w:t>
      </w:r>
    </w:p>
    <w:p w14:paraId="084F5516" w14:textId="77777777" w:rsidR="00B31F46" w:rsidRPr="00404D19" w:rsidRDefault="00B31F46" w:rsidP="00B31F46">
      <w:pPr>
        <w:rPr>
          <w:rFonts w:ascii="Arial" w:hAnsi="Arial" w:cs="Arial"/>
          <w:b/>
        </w:rPr>
      </w:pPr>
    </w:p>
    <w:p w14:paraId="55D3E5A8" w14:textId="77777777" w:rsidR="00B31F46" w:rsidRDefault="00B31F46" w:rsidP="00B31F46">
      <w:pPr>
        <w:jc w:val="both"/>
        <w:rPr>
          <w:rFonts w:ascii="Arial" w:hAnsi="Arial" w:cs="Arial"/>
          <w:sz w:val="22"/>
          <w:szCs w:val="22"/>
        </w:rPr>
      </w:pPr>
      <w:r w:rsidRPr="00B31F46">
        <w:rPr>
          <w:rFonts w:ascii="Arial" w:hAnsi="Arial" w:cs="Arial"/>
          <w:sz w:val="22"/>
          <w:szCs w:val="22"/>
        </w:rPr>
        <w:t xml:space="preserve">Current performance when compared to the three year average target for 2016/17 is classed as </w:t>
      </w:r>
      <w:r w:rsidRPr="00727641">
        <w:rPr>
          <w:rFonts w:ascii="Arial" w:hAnsi="Arial" w:cs="Arial"/>
          <w:b/>
          <w:bCs/>
          <w:sz w:val="22"/>
          <w:szCs w:val="22"/>
        </w:rPr>
        <w:t>Red</w:t>
      </w:r>
      <w:r w:rsidRPr="00B31F46">
        <w:rPr>
          <w:rFonts w:ascii="Arial" w:hAnsi="Arial" w:cs="Arial"/>
          <w:bCs/>
          <w:sz w:val="22"/>
          <w:szCs w:val="22"/>
        </w:rPr>
        <w:t>, with there being 13 casualties in the year compared to a target of 12.</w:t>
      </w:r>
      <w:r w:rsidRPr="00B31F46">
        <w:rPr>
          <w:rFonts w:ascii="Arial" w:hAnsi="Arial" w:cs="Arial"/>
          <w:sz w:val="22"/>
          <w:szCs w:val="22"/>
        </w:rPr>
        <w:t xml:space="preserve"> On average 58% of all fire fatalities and casualties within Stirling arose from accidental dwelling fires when the last five years are analysed. In reviewing data over the last 5 years, the rate of accidental dwelling fire casualties per 10,000 population within Stirling is </w:t>
      </w:r>
      <w:r w:rsidRPr="00B31F46">
        <w:rPr>
          <w:rFonts w:ascii="Arial" w:hAnsi="Arial" w:cs="Arial"/>
          <w:bCs/>
          <w:sz w:val="22"/>
          <w:szCs w:val="22"/>
        </w:rPr>
        <w:t>0.88</w:t>
      </w:r>
      <w:r w:rsidRPr="00B31F46">
        <w:rPr>
          <w:rFonts w:ascii="Arial" w:hAnsi="Arial" w:cs="Arial"/>
          <w:sz w:val="22"/>
          <w:szCs w:val="22"/>
        </w:rPr>
        <w:t xml:space="preserve">, which is the 4th lowest rate compared against all local authorities. </w:t>
      </w:r>
    </w:p>
    <w:p w14:paraId="667FEF9A" w14:textId="77777777" w:rsidR="00B31F46" w:rsidRPr="00B31F46" w:rsidRDefault="00B31F46" w:rsidP="00B31F46">
      <w:pPr>
        <w:jc w:val="both"/>
        <w:rPr>
          <w:rFonts w:ascii="Arial" w:hAnsi="Arial" w:cs="Arial"/>
          <w:b/>
          <w:color w:val="FF0000"/>
          <w:sz w:val="22"/>
          <w:szCs w:val="22"/>
        </w:rPr>
      </w:pPr>
    </w:p>
    <w:p w14:paraId="3D1E4C1A" w14:textId="77777777" w:rsidR="00B31F46" w:rsidRPr="00F01978" w:rsidRDefault="00B31F46" w:rsidP="00923A66">
      <w:pPr>
        <w:jc w:val="center"/>
        <w:rPr>
          <w:rFonts w:ascii="Arial" w:hAnsi="Arial" w:cs="Arial"/>
          <w:color w:val="FF0000"/>
        </w:rPr>
      </w:pPr>
      <w:r w:rsidRPr="00F01978">
        <w:rPr>
          <w:rFonts w:ascii="Arial" w:hAnsi="Arial" w:cs="Arial"/>
          <w:noProof/>
          <w:color w:val="FF0000"/>
        </w:rPr>
        <w:drawing>
          <wp:inline distT="0" distB="0" distL="0" distR="0" wp14:anchorId="4E5A54C4" wp14:editId="7C1D7D5F">
            <wp:extent cx="4290060" cy="2446020"/>
            <wp:effectExtent l="0" t="0" r="15240" b="114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74DC8C" w14:textId="77777777" w:rsidR="00B31F46" w:rsidRPr="00564416" w:rsidRDefault="00B31F46" w:rsidP="00AF1ED0">
      <w:pPr>
        <w:autoSpaceDE w:val="0"/>
        <w:autoSpaceDN w:val="0"/>
        <w:adjustRightInd w:val="0"/>
        <w:jc w:val="both"/>
        <w:rPr>
          <w:rFonts w:ascii="Arial" w:hAnsi="Arial" w:cs="Arial"/>
          <w:b/>
          <w:iCs/>
          <w:color w:val="A6192E"/>
          <w:sz w:val="28"/>
          <w:szCs w:val="28"/>
        </w:rPr>
      </w:pPr>
    </w:p>
    <w:p w14:paraId="4D7A24A0" w14:textId="77777777" w:rsidR="00923A66" w:rsidRDefault="00B31F46" w:rsidP="00B31F46">
      <w:pPr>
        <w:jc w:val="both"/>
        <w:rPr>
          <w:rFonts w:ascii="Arial" w:hAnsi="Arial" w:cs="Arial"/>
          <w:sz w:val="22"/>
          <w:szCs w:val="22"/>
        </w:rPr>
      </w:pPr>
      <w:r w:rsidRPr="00B31F46">
        <w:rPr>
          <w:rFonts w:ascii="Arial" w:hAnsi="Arial" w:cs="Arial"/>
          <w:sz w:val="22"/>
          <w:szCs w:val="22"/>
        </w:rPr>
        <w:t>There has been a recent increase in the number of casualtie</w:t>
      </w:r>
      <w:bookmarkStart w:id="0" w:name="_GoBack"/>
      <w:bookmarkEnd w:id="0"/>
      <w:r w:rsidRPr="00B31F46">
        <w:rPr>
          <w:rFonts w:ascii="Arial" w:hAnsi="Arial" w:cs="Arial"/>
          <w:sz w:val="22"/>
          <w:szCs w:val="22"/>
        </w:rPr>
        <w:t xml:space="preserve">s from fires. This trend continues in 2016/17 but the number requiring hospital attendance remains the same as the previous year with a slight reduction in the number of casualties overall. </w:t>
      </w:r>
    </w:p>
    <w:p w14:paraId="4B422D35" w14:textId="77777777" w:rsidR="00923A66" w:rsidRDefault="00923A66" w:rsidP="00B31F46">
      <w:pPr>
        <w:jc w:val="both"/>
        <w:rPr>
          <w:rFonts w:ascii="Arial" w:hAnsi="Arial" w:cs="Arial"/>
          <w:sz w:val="22"/>
          <w:szCs w:val="22"/>
        </w:rPr>
      </w:pPr>
    </w:p>
    <w:p w14:paraId="686B9672" w14:textId="61DBE08B" w:rsidR="00B31F46" w:rsidRPr="00B31F46" w:rsidRDefault="00B31F46" w:rsidP="00B31F46">
      <w:pPr>
        <w:jc w:val="both"/>
        <w:rPr>
          <w:rFonts w:ascii="Arial" w:hAnsi="Arial" w:cs="Arial"/>
          <w:color w:val="FF0000"/>
          <w:sz w:val="22"/>
          <w:szCs w:val="22"/>
        </w:rPr>
      </w:pPr>
      <w:r w:rsidRPr="00B31F46">
        <w:rPr>
          <w:rFonts w:ascii="Arial" w:hAnsi="Arial" w:cs="Arial"/>
          <w:sz w:val="22"/>
          <w:szCs w:val="22"/>
        </w:rPr>
        <w:t>Analysis of accidental fire fatalities and casualties has identified a link to fires within the kitchen accounting on average for 71% of incidents where injuries arise. Most common human contributory factors has been identified as “falling asleep” and “distraction”. Whilst the number of persons recorded as accidental dwelling fire casualties has seen an increase in the previous year, review of the nature of injuries has determined over 50% of recorded casualties were treated at the scene and did not require to attend hospital for treatment. Of the 36 casualties recorded at accidental fires, 3 have attended hospital having sustained serious injuries. Smoke inhalation has been identified as the most common cause of injury. The most common age range of all accidental fire casualties are 30 to 39 and 70 to 79 years of age with males accounting for the majority of all accidental dwelling fire casualties.</w:t>
      </w:r>
    </w:p>
    <w:p w14:paraId="02777F77" w14:textId="77777777" w:rsidR="00B31F46" w:rsidRPr="00F01978" w:rsidRDefault="00B31F46" w:rsidP="00B31F46">
      <w:pPr>
        <w:rPr>
          <w:rFonts w:ascii="Arial" w:hAnsi="Arial" w:cs="Arial"/>
          <w:color w:val="FF0000"/>
        </w:rPr>
      </w:pPr>
      <w:r w:rsidRPr="00923A66">
        <w:rPr>
          <w:rFonts w:ascii="Arial" w:hAnsi="Arial" w:cs="Arial"/>
          <w:noProof/>
          <w:color w:val="FF0000"/>
        </w:rPr>
        <w:lastRenderedPageBreak/>
        <w:drawing>
          <wp:inline distT="0" distB="0" distL="0" distR="0" wp14:anchorId="6697D557" wp14:editId="797B983A">
            <wp:extent cx="3101340" cy="2697480"/>
            <wp:effectExtent l="0" t="0" r="3810" b="76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F01978">
        <w:rPr>
          <w:rFonts w:ascii="Arial" w:hAnsi="Arial" w:cs="Arial"/>
          <w:color w:val="FF0000"/>
        </w:rPr>
        <w:t xml:space="preserve">   </w:t>
      </w:r>
      <w:r w:rsidRPr="00923A66">
        <w:rPr>
          <w:rFonts w:ascii="Arial" w:hAnsi="Arial" w:cs="Arial"/>
          <w:noProof/>
          <w:color w:val="FF0000"/>
        </w:rPr>
        <w:drawing>
          <wp:inline distT="0" distB="0" distL="0" distR="0" wp14:anchorId="5F888EBA" wp14:editId="23EABDC2">
            <wp:extent cx="2857500" cy="2674620"/>
            <wp:effectExtent l="0" t="0" r="0" b="114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61A8DC" w14:textId="77777777" w:rsidR="00B31F46" w:rsidRPr="00F01978" w:rsidRDefault="00B31F46" w:rsidP="00B31F46">
      <w:pPr>
        <w:rPr>
          <w:rFonts w:ascii="Arial" w:hAnsi="Arial" w:cs="Arial"/>
          <w:b/>
          <w:color w:val="FF0000"/>
        </w:rPr>
      </w:pPr>
    </w:p>
    <w:p w14:paraId="632153D3" w14:textId="158BDB1D" w:rsidR="00923A66" w:rsidRDefault="00923A66">
      <w:pPr>
        <w:rPr>
          <w:rFonts w:ascii="Arial" w:hAnsi="Arial" w:cs="Arial"/>
          <w:iCs/>
          <w:sz w:val="22"/>
          <w:szCs w:val="22"/>
        </w:rPr>
      </w:pPr>
      <w:r>
        <w:rPr>
          <w:rFonts w:ascii="Arial" w:hAnsi="Arial" w:cs="Arial"/>
          <w:iCs/>
          <w:sz w:val="22"/>
          <w:szCs w:val="22"/>
        </w:rPr>
        <w:br w:type="page"/>
      </w:r>
    </w:p>
    <w:p w14:paraId="033B3EB0" w14:textId="375F2D62" w:rsidR="00564416" w:rsidRPr="00987A20" w:rsidRDefault="00D51A76" w:rsidP="00564416">
      <w:pPr>
        <w:autoSpaceDE w:val="0"/>
        <w:autoSpaceDN w:val="0"/>
        <w:adjustRightInd w:val="0"/>
        <w:jc w:val="both"/>
        <w:rPr>
          <w:rFonts w:ascii="Arial" w:hAnsi="Arial" w:cs="Arial"/>
          <w:b/>
          <w:color w:val="A6192E"/>
          <w:sz w:val="28"/>
          <w:szCs w:val="28"/>
        </w:rPr>
      </w:pPr>
      <w:r>
        <w:rPr>
          <w:rFonts w:ascii="Arial" w:hAnsi="Arial" w:cs="Arial"/>
          <w:b/>
          <w:color w:val="A6192E"/>
          <w:sz w:val="28"/>
          <w:szCs w:val="28"/>
        </w:rPr>
        <w:lastRenderedPageBreak/>
        <w:t>Reduction in Deliberate Fires</w:t>
      </w:r>
      <w:r w:rsidR="007D2761">
        <w:rPr>
          <w:rFonts w:ascii="Arial" w:hAnsi="Arial" w:cs="Arial"/>
          <w:b/>
          <w:color w:val="A6192E"/>
          <w:sz w:val="28"/>
          <w:szCs w:val="28"/>
        </w:rPr>
        <w:t xml:space="preserve">  </w:t>
      </w:r>
    </w:p>
    <w:p w14:paraId="12E08B7B" w14:textId="77777777" w:rsidR="00564416" w:rsidRDefault="00564416" w:rsidP="00564416">
      <w:pPr>
        <w:autoSpaceDE w:val="0"/>
        <w:autoSpaceDN w:val="0"/>
        <w:adjustRightInd w:val="0"/>
        <w:jc w:val="both"/>
        <w:rPr>
          <w:rFonts w:ascii="Arial" w:hAnsi="Arial" w:cs="Arial"/>
          <w:b/>
          <w:sz w:val="22"/>
          <w:szCs w:val="22"/>
        </w:rPr>
      </w:pPr>
    </w:p>
    <w:p w14:paraId="09B44509" w14:textId="77777777" w:rsidR="00D51A76" w:rsidRDefault="00D51A76" w:rsidP="00D51A76">
      <w:pPr>
        <w:jc w:val="both"/>
        <w:rPr>
          <w:rFonts w:ascii="Arial" w:hAnsi="Arial" w:cs="Arial"/>
          <w:b/>
          <w:sz w:val="22"/>
          <w:szCs w:val="22"/>
        </w:rPr>
      </w:pPr>
      <w:r w:rsidRPr="00D51A76">
        <w:rPr>
          <w:rFonts w:ascii="Arial" w:hAnsi="Arial" w:cs="Arial"/>
          <w:b/>
          <w:sz w:val="22"/>
          <w:szCs w:val="22"/>
        </w:rPr>
        <w:t>Performance Explained</w:t>
      </w:r>
    </w:p>
    <w:p w14:paraId="2673380E" w14:textId="77777777" w:rsidR="00D51A76" w:rsidRPr="00D51A76" w:rsidRDefault="00D51A76" w:rsidP="00D51A76">
      <w:pPr>
        <w:jc w:val="both"/>
        <w:rPr>
          <w:rFonts w:ascii="Arial" w:hAnsi="Arial" w:cs="Arial"/>
          <w:b/>
          <w:sz w:val="22"/>
          <w:szCs w:val="22"/>
        </w:rPr>
      </w:pPr>
    </w:p>
    <w:p w14:paraId="63C932A6" w14:textId="77777777" w:rsidR="00D51A76" w:rsidRDefault="00D51A76" w:rsidP="00D51A76">
      <w:pPr>
        <w:jc w:val="both"/>
        <w:rPr>
          <w:rFonts w:ascii="Arial" w:hAnsi="Arial" w:cs="Arial"/>
          <w:sz w:val="22"/>
          <w:szCs w:val="22"/>
        </w:rPr>
      </w:pPr>
      <w:r w:rsidRPr="00D51A76">
        <w:rPr>
          <w:rFonts w:ascii="Arial" w:hAnsi="Arial" w:cs="Arial"/>
          <w:sz w:val="22"/>
          <w:szCs w:val="22"/>
        </w:rPr>
        <w:t xml:space="preserve">Current performance when compared to the three year average target for 2016/17 is classed as </w:t>
      </w:r>
      <w:r w:rsidRPr="00727641">
        <w:rPr>
          <w:rFonts w:ascii="Arial" w:hAnsi="Arial" w:cs="Arial"/>
          <w:b/>
          <w:bCs/>
          <w:sz w:val="22"/>
          <w:szCs w:val="22"/>
        </w:rPr>
        <w:t>Red</w:t>
      </w:r>
      <w:r w:rsidRPr="00D51A76">
        <w:rPr>
          <w:rFonts w:ascii="Arial" w:hAnsi="Arial" w:cs="Arial"/>
          <w:bCs/>
          <w:sz w:val="22"/>
          <w:szCs w:val="22"/>
        </w:rPr>
        <w:t xml:space="preserve">.  </w:t>
      </w:r>
      <w:r w:rsidRPr="00D51A76">
        <w:rPr>
          <w:rFonts w:ascii="Arial" w:hAnsi="Arial" w:cs="Arial"/>
          <w:color w:val="FF0000"/>
          <w:sz w:val="22"/>
          <w:szCs w:val="22"/>
        </w:rPr>
        <w:t xml:space="preserve"> </w:t>
      </w:r>
      <w:r w:rsidRPr="00D51A76">
        <w:rPr>
          <w:rFonts w:ascii="Arial" w:hAnsi="Arial" w:cs="Arial"/>
          <w:sz w:val="22"/>
          <w:szCs w:val="22"/>
        </w:rPr>
        <w:t xml:space="preserve">On average deliberate fire raising accounts for 45% of all fire related activity within Stirling. In reviewing data over the last 5 years, the rate of deliberate secondary fire raising has identified Stirling as having an average prevalence of activity when compared against all local authorities, in particular deliberate refuse fires which at the rate of </w:t>
      </w:r>
      <w:r w:rsidRPr="00D51A76">
        <w:rPr>
          <w:rFonts w:ascii="Arial" w:hAnsi="Arial" w:cs="Arial"/>
          <w:bCs/>
          <w:sz w:val="22"/>
          <w:szCs w:val="22"/>
        </w:rPr>
        <w:t xml:space="preserve">5.03 </w:t>
      </w:r>
      <w:r w:rsidRPr="00D51A76">
        <w:rPr>
          <w:rFonts w:ascii="Arial" w:hAnsi="Arial" w:cs="Arial"/>
          <w:sz w:val="22"/>
          <w:szCs w:val="22"/>
        </w:rPr>
        <w:t>incidents per 10,000 population, is the 12</w:t>
      </w:r>
      <w:r w:rsidRPr="00D51A76">
        <w:rPr>
          <w:rFonts w:ascii="Arial" w:hAnsi="Arial" w:cs="Arial"/>
          <w:sz w:val="22"/>
          <w:szCs w:val="22"/>
          <w:vertAlign w:val="superscript"/>
        </w:rPr>
        <w:t>th</w:t>
      </w:r>
      <w:r w:rsidRPr="00D51A76">
        <w:rPr>
          <w:rFonts w:ascii="Arial" w:hAnsi="Arial" w:cs="Arial"/>
          <w:sz w:val="22"/>
          <w:szCs w:val="22"/>
        </w:rPr>
        <w:t xml:space="preserve"> lowest rate in Scotland. </w:t>
      </w:r>
    </w:p>
    <w:p w14:paraId="04AB7D8A" w14:textId="77777777" w:rsidR="00923A66" w:rsidRPr="00D51A76" w:rsidRDefault="00923A66" w:rsidP="00D51A76">
      <w:pPr>
        <w:jc w:val="both"/>
        <w:rPr>
          <w:rFonts w:ascii="Arial" w:hAnsi="Arial" w:cs="Arial"/>
          <w:sz w:val="22"/>
          <w:szCs w:val="22"/>
        </w:rPr>
      </w:pPr>
    </w:p>
    <w:p w14:paraId="38A8F5FA" w14:textId="77777777" w:rsidR="00D51A76" w:rsidRPr="00F01978" w:rsidRDefault="00D51A76" w:rsidP="00923A66">
      <w:pPr>
        <w:jc w:val="center"/>
        <w:rPr>
          <w:rFonts w:ascii="Arial" w:hAnsi="Arial" w:cs="Arial"/>
          <w:color w:val="FF0000"/>
        </w:rPr>
      </w:pPr>
      <w:r w:rsidRPr="00F01978">
        <w:rPr>
          <w:rFonts w:ascii="Arial" w:hAnsi="Arial" w:cs="Arial"/>
          <w:noProof/>
          <w:color w:val="FF0000"/>
        </w:rPr>
        <w:drawing>
          <wp:inline distT="0" distB="0" distL="0" distR="0" wp14:anchorId="1E804ABC" wp14:editId="342EDB9A">
            <wp:extent cx="4229100" cy="2240280"/>
            <wp:effectExtent l="0" t="0" r="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F15255" w14:textId="77777777" w:rsidR="00D51A76" w:rsidRPr="00F01978" w:rsidRDefault="00D51A76" w:rsidP="00D51A76">
      <w:pPr>
        <w:rPr>
          <w:rFonts w:ascii="Arial" w:hAnsi="Arial" w:cs="Arial"/>
          <w:color w:val="FF0000"/>
        </w:rPr>
      </w:pPr>
    </w:p>
    <w:p w14:paraId="3B282895" w14:textId="71510E98" w:rsidR="00D51A76" w:rsidRDefault="00D51A76" w:rsidP="00D51A76">
      <w:pPr>
        <w:jc w:val="both"/>
        <w:rPr>
          <w:rFonts w:ascii="Arial" w:hAnsi="Arial" w:cs="Arial"/>
          <w:sz w:val="22"/>
          <w:szCs w:val="22"/>
        </w:rPr>
      </w:pPr>
      <w:r w:rsidRPr="00D51A76">
        <w:rPr>
          <w:rFonts w:ascii="Arial" w:hAnsi="Arial" w:cs="Arial"/>
          <w:sz w:val="22"/>
          <w:szCs w:val="22"/>
        </w:rPr>
        <w:t>In terms of total activity the number of deliberate fires continued to reduce up to last year and the trend line is rising slightly. The current year is above the target but it is 8% down on the previous year.</w:t>
      </w:r>
      <w:r w:rsidR="00923A66">
        <w:rPr>
          <w:rFonts w:ascii="Arial" w:hAnsi="Arial" w:cs="Arial"/>
          <w:sz w:val="22"/>
          <w:szCs w:val="22"/>
        </w:rPr>
        <w:t xml:space="preserve">  </w:t>
      </w:r>
      <w:r w:rsidRPr="00D51A76">
        <w:rPr>
          <w:rFonts w:ascii="Arial" w:hAnsi="Arial" w:cs="Arial"/>
          <w:sz w:val="22"/>
          <w:szCs w:val="22"/>
        </w:rPr>
        <w:t xml:space="preserve">Deliberate fires have accounted for 10% of all operational incidents within Stirling, with 7% of all mobilisations being to secondary fire incidents. Deliberate refuse fires account for 40% of all secondary fire activity within Stirling with other outdoor fires involving woodland, trees and crops being the second most common secondary fire types. </w:t>
      </w:r>
    </w:p>
    <w:p w14:paraId="0DE29702" w14:textId="77777777" w:rsidR="001538F5" w:rsidRPr="00D51A76" w:rsidRDefault="001538F5" w:rsidP="00D51A76">
      <w:pPr>
        <w:jc w:val="both"/>
        <w:rPr>
          <w:rFonts w:ascii="Arial" w:hAnsi="Arial" w:cs="Arial"/>
          <w:sz w:val="22"/>
          <w:szCs w:val="22"/>
        </w:rPr>
      </w:pPr>
    </w:p>
    <w:p w14:paraId="0EA9ADE1" w14:textId="77777777" w:rsidR="00D51A76" w:rsidRPr="00F01978" w:rsidRDefault="00D51A76" w:rsidP="00D51A76">
      <w:pPr>
        <w:rPr>
          <w:rFonts w:ascii="Arial" w:hAnsi="Arial" w:cs="Arial"/>
          <w:color w:val="FF0000"/>
        </w:rPr>
      </w:pPr>
      <w:r w:rsidRPr="00923A66">
        <w:rPr>
          <w:rFonts w:ascii="Arial" w:hAnsi="Arial" w:cs="Arial"/>
          <w:noProof/>
          <w:color w:val="FF0000"/>
        </w:rPr>
        <w:drawing>
          <wp:inline distT="0" distB="0" distL="0" distR="0" wp14:anchorId="6CDDB38B" wp14:editId="00627B4F">
            <wp:extent cx="3009900" cy="3209925"/>
            <wp:effectExtent l="0" t="0" r="0" b="952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F01978">
        <w:rPr>
          <w:rFonts w:ascii="Arial" w:hAnsi="Arial" w:cs="Arial"/>
          <w:color w:val="FF0000"/>
        </w:rPr>
        <w:t xml:space="preserve"> </w:t>
      </w:r>
      <w:r w:rsidRPr="00923A66">
        <w:rPr>
          <w:rFonts w:ascii="Arial" w:hAnsi="Arial" w:cs="Arial"/>
          <w:noProof/>
          <w:color w:val="FF0000"/>
        </w:rPr>
        <w:drawing>
          <wp:inline distT="0" distB="0" distL="0" distR="0" wp14:anchorId="2D8751C7" wp14:editId="573E58D4">
            <wp:extent cx="3040380" cy="3202305"/>
            <wp:effectExtent l="0" t="0" r="7620" b="1714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B451C8" w14:textId="77777777" w:rsidR="00987A20" w:rsidRDefault="00987A20" w:rsidP="00987A20">
      <w:pPr>
        <w:jc w:val="both"/>
        <w:rPr>
          <w:rFonts w:ascii="Arial" w:hAnsi="Arial" w:cs="Arial"/>
        </w:rPr>
      </w:pPr>
    </w:p>
    <w:p w14:paraId="310EA2BA" w14:textId="595CCB49" w:rsidR="00D51A76" w:rsidRPr="001538F5" w:rsidRDefault="00D51A76" w:rsidP="00D51A76">
      <w:pPr>
        <w:rPr>
          <w:rFonts w:ascii="Arial" w:hAnsi="Arial" w:cs="Arial"/>
          <w:b/>
          <w:color w:val="A6192E"/>
          <w:sz w:val="28"/>
          <w:szCs w:val="28"/>
        </w:rPr>
      </w:pPr>
      <w:r w:rsidRPr="001538F5">
        <w:rPr>
          <w:rFonts w:ascii="Arial" w:hAnsi="Arial" w:cs="Arial"/>
          <w:b/>
          <w:color w:val="A6192E"/>
          <w:sz w:val="28"/>
          <w:szCs w:val="28"/>
        </w:rPr>
        <w:lastRenderedPageBreak/>
        <w:t>Reduction in Non-Domestic Fires</w:t>
      </w:r>
    </w:p>
    <w:p w14:paraId="1F392F8D" w14:textId="77777777" w:rsidR="00D51A76" w:rsidRPr="009B7C01" w:rsidRDefault="00D51A76" w:rsidP="00D51A76">
      <w:pPr>
        <w:rPr>
          <w:rFonts w:ascii="Arial" w:hAnsi="Arial" w:cs="Arial"/>
          <w:b/>
        </w:rPr>
      </w:pPr>
    </w:p>
    <w:p w14:paraId="19857524" w14:textId="00B137E8" w:rsidR="00D51A76" w:rsidRDefault="00D51A76" w:rsidP="00D51A76">
      <w:pPr>
        <w:jc w:val="both"/>
        <w:rPr>
          <w:rFonts w:ascii="Arial" w:hAnsi="Arial" w:cs="Arial"/>
          <w:sz w:val="22"/>
          <w:szCs w:val="22"/>
        </w:rPr>
      </w:pPr>
      <w:r w:rsidRPr="00D51A76">
        <w:rPr>
          <w:rFonts w:ascii="Arial" w:hAnsi="Arial" w:cs="Arial"/>
          <w:sz w:val="22"/>
          <w:szCs w:val="22"/>
        </w:rPr>
        <w:t xml:space="preserve">Current performance when compared to the three year average target for 2016/17 is classed as </w:t>
      </w:r>
      <w:r w:rsidRPr="00D51A76">
        <w:rPr>
          <w:rFonts w:ascii="Arial" w:hAnsi="Arial" w:cs="Arial"/>
          <w:b/>
          <w:bCs/>
          <w:sz w:val="22"/>
          <w:szCs w:val="22"/>
        </w:rPr>
        <w:t>Green</w:t>
      </w:r>
      <w:r w:rsidRPr="00D51A76">
        <w:rPr>
          <w:rFonts w:ascii="Arial" w:hAnsi="Arial" w:cs="Arial"/>
          <w:sz w:val="22"/>
          <w:szCs w:val="22"/>
        </w:rPr>
        <w:t>. Whilst overall the number of non-</w:t>
      </w:r>
      <w:r w:rsidR="001538F5" w:rsidRPr="00D51A76">
        <w:rPr>
          <w:rFonts w:ascii="Arial" w:hAnsi="Arial" w:cs="Arial"/>
          <w:sz w:val="22"/>
          <w:szCs w:val="22"/>
        </w:rPr>
        <w:t>domestic</w:t>
      </w:r>
      <w:r w:rsidRPr="00D51A76">
        <w:rPr>
          <w:rFonts w:ascii="Arial" w:hAnsi="Arial" w:cs="Arial"/>
          <w:sz w:val="22"/>
          <w:szCs w:val="22"/>
        </w:rPr>
        <w:t xml:space="preserve"> fires account for only 4% of all operational mobilisations, just over 25% of all non-domestic fires involve prisons, with 58% of all of these fires being classed as accidental fires. In reviewing data over the last 5 years, the rate of non-domestic premises involving the business or service sector per 10,000 population within Stirling is </w:t>
      </w:r>
      <w:r w:rsidRPr="00D51A76">
        <w:rPr>
          <w:rFonts w:ascii="Arial" w:hAnsi="Arial" w:cs="Arial"/>
          <w:b/>
          <w:bCs/>
          <w:sz w:val="22"/>
          <w:szCs w:val="22"/>
        </w:rPr>
        <w:t>4.58</w:t>
      </w:r>
      <w:r w:rsidRPr="00D51A76">
        <w:rPr>
          <w:rFonts w:ascii="Arial" w:hAnsi="Arial" w:cs="Arial"/>
          <w:sz w:val="22"/>
          <w:szCs w:val="22"/>
        </w:rPr>
        <w:t>, which is 29</w:t>
      </w:r>
      <w:r w:rsidRPr="00D51A76">
        <w:rPr>
          <w:rFonts w:ascii="Arial" w:hAnsi="Arial" w:cs="Arial"/>
          <w:sz w:val="22"/>
          <w:szCs w:val="22"/>
          <w:vertAlign w:val="superscript"/>
        </w:rPr>
        <w:t>th</w:t>
      </w:r>
      <w:r w:rsidRPr="00D51A76">
        <w:rPr>
          <w:rFonts w:ascii="Arial" w:hAnsi="Arial" w:cs="Arial"/>
          <w:sz w:val="22"/>
          <w:szCs w:val="22"/>
        </w:rPr>
        <w:t xml:space="preserve"> lowest when compared against all local authorities.</w:t>
      </w:r>
    </w:p>
    <w:p w14:paraId="29BA5E4E" w14:textId="77777777" w:rsidR="001538F5" w:rsidRDefault="001538F5" w:rsidP="00D51A76">
      <w:pPr>
        <w:jc w:val="both"/>
        <w:rPr>
          <w:rFonts w:ascii="Arial" w:hAnsi="Arial" w:cs="Arial"/>
          <w:color w:val="FF0000"/>
          <w:sz w:val="22"/>
          <w:szCs w:val="22"/>
        </w:rPr>
      </w:pPr>
    </w:p>
    <w:p w14:paraId="26EFD9BF" w14:textId="77777777" w:rsidR="001538F5" w:rsidRPr="00D51A76" w:rsidRDefault="001538F5" w:rsidP="00D51A76">
      <w:pPr>
        <w:jc w:val="both"/>
        <w:rPr>
          <w:rFonts w:ascii="Arial" w:hAnsi="Arial" w:cs="Arial"/>
          <w:color w:val="FF0000"/>
          <w:sz w:val="22"/>
          <w:szCs w:val="22"/>
        </w:rPr>
      </w:pPr>
    </w:p>
    <w:p w14:paraId="2FEBA911" w14:textId="77777777" w:rsidR="00D51A76" w:rsidRPr="00F01978" w:rsidRDefault="00D51A76" w:rsidP="001538F5">
      <w:pPr>
        <w:jc w:val="center"/>
        <w:rPr>
          <w:rFonts w:ascii="Arial" w:hAnsi="Arial" w:cs="Arial"/>
          <w:color w:val="FF0000"/>
        </w:rPr>
      </w:pPr>
      <w:r w:rsidRPr="00F01978">
        <w:rPr>
          <w:rFonts w:ascii="Arial" w:hAnsi="Arial" w:cs="Arial"/>
          <w:noProof/>
          <w:color w:val="FF0000"/>
        </w:rPr>
        <w:drawing>
          <wp:inline distT="0" distB="0" distL="0" distR="0" wp14:anchorId="387D0559" wp14:editId="41EFC89C">
            <wp:extent cx="4000500" cy="2575560"/>
            <wp:effectExtent l="0" t="0" r="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C1B37C" w14:textId="77777777" w:rsidR="00D51A76" w:rsidRPr="00F01978" w:rsidRDefault="00D51A76" w:rsidP="00D51A76">
      <w:pPr>
        <w:rPr>
          <w:rFonts w:ascii="Arial" w:hAnsi="Arial" w:cs="Arial"/>
          <w:color w:val="FF0000"/>
        </w:rPr>
      </w:pPr>
    </w:p>
    <w:p w14:paraId="72EA802C" w14:textId="77777777" w:rsidR="001538F5" w:rsidRDefault="001538F5" w:rsidP="00D51A76">
      <w:pPr>
        <w:jc w:val="both"/>
        <w:rPr>
          <w:rFonts w:ascii="Arial" w:hAnsi="Arial" w:cs="Arial"/>
          <w:sz w:val="22"/>
          <w:szCs w:val="22"/>
        </w:rPr>
      </w:pPr>
    </w:p>
    <w:p w14:paraId="680F92BB" w14:textId="77777777" w:rsidR="00D51A76" w:rsidRPr="00D51A76" w:rsidRDefault="00D51A76" w:rsidP="00D51A76">
      <w:pPr>
        <w:jc w:val="both"/>
        <w:rPr>
          <w:rFonts w:ascii="Arial" w:hAnsi="Arial" w:cs="Arial"/>
          <w:sz w:val="22"/>
          <w:szCs w:val="22"/>
        </w:rPr>
      </w:pPr>
      <w:r w:rsidRPr="00D51A76">
        <w:rPr>
          <w:rFonts w:ascii="Arial" w:hAnsi="Arial" w:cs="Arial"/>
          <w:sz w:val="22"/>
          <w:szCs w:val="22"/>
        </w:rPr>
        <w:t xml:space="preserve">The trend line demonstrated an increasing issue. However, 4 of the 5 years remain constant with 2015/16 showing a significant increase. Business and Service sector premises normally fall within the scope of Part 3 of the Fire (Scotland) act 2005 as amended and are classed as ‘Relevant Premises’. Given the importance of the protection of the local economy, monitoring of activity within Relevant Premises is ongoing in conjunction with a programme of fire safety enforcement audits. </w:t>
      </w:r>
    </w:p>
    <w:p w14:paraId="2C21AB3A" w14:textId="77777777" w:rsidR="00D51A76" w:rsidRDefault="00D51A76" w:rsidP="00987A20">
      <w:pPr>
        <w:autoSpaceDE w:val="0"/>
        <w:autoSpaceDN w:val="0"/>
        <w:adjustRightInd w:val="0"/>
        <w:jc w:val="both"/>
        <w:rPr>
          <w:rFonts w:ascii="Arial" w:hAnsi="Arial" w:cs="Arial"/>
          <w:sz w:val="22"/>
          <w:szCs w:val="22"/>
        </w:rPr>
      </w:pPr>
    </w:p>
    <w:p w14:paraId="5AC75625" w14:textId="77777777" w:rsidR="0000659C" w:rsidRDefault="0000659C" w:rsidP="00987A20">
      <w:pPr>
        <w:autoSpaceDE w:val="0"/>
        <w:autoSpaceDN w:val="0"/>
        <w:adjustRightInd w:val="0"/>
        <w:jc w:val="both"/>
        <w:rPr>
          <w:rFonts w:ascii="Arial" w:hAnsi="Arial" w:cs="Arial"/>
          <w:sz w:val="22"/>
          <w:szCs w:val="22"/>
        </w:rPr>
      </w:pPr>
    </w:p>
    <w:p w14:paraId="2C40BD0F" w14:textId="77777777" w:rsidR="0000659C" w:rsidRDefault="0000659C" w:rsidP="00987A20">
      <w:pPr>
        <w:autoSpaceDE w:val="0"/>
        <w:autoSpaceDN w:val="0"/>
        <w:adjustRightInd w:val="0"/>
        <w:jc w:val="both"/>
        <w:rPr>
          <w:rFonts w:ascii="Arial" w:hAnsi="Arial" w:cs="Arial"/>
          <w:sz w:val="22"/>
          <w:szCs w:val="22"/>
        </w:rPr>
      </w:pPr>
    </w:p>
    <w:p w14:paraId="4AA1A657" w14:textId="77777777" w:rsidR="0000659C" w:rsidRDefault="0000659C" w:rsidP="00987A20">
      <w:pPr>
        <w:autoSpaceDE w:val="0"/>
        <w:autoSpaceDN w:val="0"/>
        <w:adjustRightInd w:val="0"/>
        <w:jc w:val="both"/>
        <w:rPr>
          <w:rFonts w:ascii="Arial" w:hAnsi="Arial" w:cs="Arial"/>
          <w:sz w:val="22"/>
          <w:szCs w:val="22"/>
        </w:rPr>
      </w:pPr>
    </w:p>
    <w:p w14:paraId="367732CB" w14:textId="77777777" w:rsidR="0000659C" w:rsidRDefault="0000659C" w:rsidP="00987A20">
      <w:pPr>
        <w:autoSpaceDE w:val="0"/>
        <w:autoSpaceDN w:val="0"/>
        <w:adjustRightInd w:val="0"/>
        <w:jc w:val="both"/>
        <w:rPr>
          <w:rFonts w:ascii="Arial" w:hAnsi="Arial" w:cs="Arial"/>
          <w:sz w:val="22"/>
          <w:szCs w:val="22"/>
        </w:rPr>
      </w:pPr>
    </w:p>
    <w:p w14:paraId="15E471C3" w14:textId="77777777" w:rsidR="0000659C" w:rsidRDefault="0000659C" w:rsidP="00987A20">
      <w:pPr>
        <w:autoSpaceDE w:val="0"/>
        <w:autoSpaceDN w:val="0"/>
        <w:adjustRightInd w:val="0"/>
        <w:jc w:val="both"/>
        <w:rPr>
          <w:rFonts w:ascii="Arial" w:hAnsi="Arial" w:cs="Arial"/>
          <w:sz w:val="22"/>
          <w:szCs w:val="22"/>
        </w:rPr>
      </w:pPr>
    </w:p>
    <w:p w14:paraId="77ECFB69" w14:textId="77777777" w:rsidR="0000659C" w:rsidRDefault="0000659C" w:rsidP="00987A20">
      <w:pPr>
        <w:autoSpaceDE w:val="0"/>
        <w:autoSpaceDN w:val="0"/>
        <w:adjustRightInd w:val="0"/>
        <w:jc w:val="both"/>
        <w:rPr>
          <w:rFonts w:ascii="Arial" w:hAnsi="Arial" w:cs="Arial"/>
          <w:sz w:val="22"/>
          <w:szCs w:val="22"/>
        </w:rPr>
      </w:pPr>
    </w:p>
    <w:p w14:paraId="5975E67A" w14:textId="77777777" w:rsidR="0000659C" w:rsidRDefault="0000659C" w:rsidP="00987A20">
      <w:pPr>
        <w:autoSpaceDE w:val="0"/>
        <w:autoSpaceDN w:val="0"/>
        <w:adjustRightInd w:val="0"/>
        <w:jc w:val="both"/>
        <w:rPr>
          <w:rFonts w:ascii="Arial" w:hAnsi="Arial" w:cs="Arial"/>
          <w:sz w:val="22"/>
          <w:szCs w:val="22"/>
        </w:rPr>
      </w:pPr>
    </w:p>
    <w:p w14:paraId="1B17AF90" w14:textId="77777777" w:rsidR="0000659C" w:rsidRDefault="0000659C" w:rsidP="00987A20">
      <w:pPr>
        <w:autoSpaceDE w:val="0"/>
        <w:autoSpaceDN w:val="0"/>
        <w:adjustRightInd w:val="0"/>
        <w:jc w:val="both"/>
        <w:rPr>
          <w:rFonts w:ascii="Arial" w:hAnsi="Arial" w:cs="Arial"/>
          <w:sz w:val="22"/>
          <w:szCs w:val="22"/>
        </w:rPr>
      </w:pPr>
    </w:p>
    <w:p w14:paraId="76B6E799" w14:textId="77777777" w:rsidR="0000659C" w:rsidRDefault="0000659C" w:rsidP="00987A20">
      <w:pPr>
        <w:autoSpaceDE w:val="0"/>
        <w:autoSpaceDN w:val="0"/>
        <w:adjustRightInd w:val="0"/>
        <w:jc w:val="both"/>
        <w:rPr>
          <w:rFonts w:ascii="Arial" w:hAnsi="Arial" w:cs="Arial"/>
          <w:sz w:val="22"/>
          <w:szCs w:val="22"/>
        </w:rPr>
      </w:pPr>
    </w:p>
    <w:p w14:paraId="61DFD2F0" w14:textId="77777777" w:rsidR="0000659C" w:rsidRDefault="0000659C" w:rsidP="00987A20">
      <w:pPr>
        <w:autoSpaceDE w:val="0"/>
        <w:autoSpaceDN w:val="0"/>
        <w:adjustRightInd w:val="0"/>
        <w:jc w:val="both"/>
        <w:rPr>
          <w:rFonts w:ascii="Arial" w:hAnsi="Arial" w:cs="Arial"/>
          <w:sz w:val="22"/>
          <w:szCs w:val="22"/>
        </w:rPr>
      </w:pPr>
    </w:p>
    <w:p w14:paraId="62AC32DA" w14:textId="77777777" w:rsidR="0000659C" w:rsidRDefault="0000659C" w:rsidP="00987A20">
      <w:pPr>
        <w:autoSpaceDE w:val="0"/>
        <w:autoSpaceDN w:val="0"/>
        <w:adjustRightInd w:val="0"/>
        <w:jc w:val="both"/>
        <w:rPr>
          <w:rFonts w:ascii="Arial" w:hAnsi="Arial" w:cs="Arial"/>
          <w:sz w:val="22"/>
          <w:szCs w:val="22"/>
        </w:rPr>
      </w:pPr>
    </w:p>
    <w:p w14:paraId="0327C418" w14:textId="77777777" w:rsidR="0000659C" w:rsidRDefault="0000659C" w:rsidP="00987A20">
      <w:pPr>
        <w:autoSpaceDE w:val="0"/>
        <w:autoSpaceDN w:val="0"/>
        <w:adjustRightInd w:val="0"/>
        <w:jc w:val="both"/>
        <w:rPr>
          <w:rFonts w:ascii="Arial" w:hAnsi="Arial" w:cs="Arial"/>
          <w:sz w:val="22"/>
          <w:szCs w:val="22"/>
        </w:rPr>
      </w:pPr>
    </w:p>
    <w:p w14:paraId="279A799A" w14:textId="77777777" w:rsidR="0000659C" w:rsidRDefault="0000659C" w:rsidP="00987A20">
      <w:pPr>
        <w:autoSpaceDE w:val="0"/>
        <w:autoSpaceDN w:val="0"/>
        <w:adjustRightInd w:val="0"/>
        <w:jc w:val="both"/>
        <w:rPr>
          <w:rFonts w:ascii="Arial" w:hAnsi="Arial" w:cs="Arial"/>
          <w:sz w:val="22"/>
          <w:szCs w:val="22"/>
        </w:rPr>
      </w:pPr>
    </w:p>
    <w:p w14:paraId="6C37DB37" w14:textId="77777777" w:rsidR="0000659C" w:rsidRDefault="0000659C" w:rsidP="00987A20">
      <w:pPr>
        <w:autoSpaceDE w:val="0"/>
        <w:autoSpaceDN w:val="0"/>
        <w:adjustRightInd w:val="0"/>
        <w:jc w:val="both"/>
        <w:rPr>
          <w:rFonts w:ascii="Arial" w:hAnsi="Arial" w:cs="Arial"/>
          <w:sz w:val="22"/>
          <w:szCs w:val="22"/>
        </w:rPr>
      </w:pPr>
    </w:p>
    <w:p w14:paraId="35E1CEC2" w14:textId="77777777" w:rsidR="0000659C" w:rsidRDefault="0000659C" w:rsidP="00987A20">
      <w:pPr>
        <w:autoSpaceDE w:val="0"/>
        <w:autoSpaceDN w:val="0"/>
        <w:adjustRightInd w:val="0"/>
        <w:jc w:val="both"/>
        <w:rPr>
          <w:rFonts w:ascii="Arial" w:hAnsi="Arial" w:cs="Arial"/>
          <w:sz w:val="22"/>
          <w:szCs w:val="22"/>
        </w:rPr>
      </w:pPr>
    </w:p>
    <w:p w14:paraId="32C5B308" w14:textId="77777777" w:rsidR="0000659C" w:rsidRDefault="0000659C" w:rsidP="00987A20">
      <w:pPr>
        <w:autoSpaceDE w:val="0"/>
        <w:autoSpaceDN w:val="0"/>
        <w:adjustRightInd w:val="0"/>
        <w:jc w:val="both"/>
        <w:rPr>
          <w:rFonts w:ascii="Arial" w:hAnsi="Arial" w:cs="Arial"/>
          <w:sz w:val="22"/>
          <w:szCs w:val="22"/>
        </w:rPr>
      </w:pPr>
    </w:p>
    <w:p w14:paraId="6572097A" w14:textId="77777777" w:rsidR="0000659C" w:rsidRDefault="0000659C" w:rsidP="00987A20">
      <w:pPr>
        <w:autoSpaceDE w:val="0"/>
        <w:autoSpaceDN w:val="0"/>
        <w:adjustRightInd w:val="0"/>
        <w:jc w:val="both"/>
        <w:rPr>
          <w:rFonts w:ascii="Arial" w:hAnsi="Arial" w:cs="Arial"/>
          <w:sz w:val="22"/>
          <w:szCs w:val="22"/>
        </w:rPr>
      </w:pPr>
    </w:p>
    <w:p w14:paraId="62E289C6" w14:textId="34C33505" w:rsidR="007D2761" w:rsidRDefault="007D2761">
      <w:pPr>
        <w:rPr>
          <w:rFonts w:ascii="Arial" w:hAnsi="Arial" w:cs="Arial"/>
          <w:sz w:val="22"/>
          <w:szCs w:val="22"/>
        </w:rPr>
      </w:pPr>
      <w:r>
        <w:rPr>
          <w:rFonts w:ascii="Arial" w:hAnsi="Arial" w:cs="Arial"/>
          <w:sz w:val="22"/>
          <w:szCs w:val="22"/>
        </w:rPr>
        <w:br w:type="page"/>
      </w:r>
    </w:p>
    <w:p w14:paraId="6BC7C510" w14:textId="57EFA2AF" w:rsidR="00D51A76" w:rsidRPr="007D2761" w:rsidRDefault="00D51A76" w:rsidP="00D51A76">
      <w:pPr>
        <w:jc w:val="both"/>
        <w:rPr>
          <w:rFonts w:ascii="Arial" w:hAnsi="Arial" w:cs="Arial"/>
          <w:b/>
          <w:color w:val="A6192E"/>
          <w:sz w:val="28"/>
          <w:szCs w:val="28"/>
        </w:rPr>
      </w:pPr>
      <w:r w:rsidRPr="007D2761">
        <w:rPr>
          <w:rFonts w:ascii="Arial" w:hAnsi="Arial" w:cs="Arial"/>
          <w:b/>
          <w:color w:val="A6192E"/>
          <w:sz w:val="28"/>
          <w:szCs w:val="28"/>
        </w:rPr>
        <w:lastRenderedPageBreak/>
        <w:t>Reduction in Casualties from Special Services</w:t>
      </w:r>
    </w:p>
    <w:p w14:paraId="4C963392" w14:textId="77777777" w:rsidR="00D51A76" w:rsidRPr="00D51A76" w:rsidRDefault="00D51A76" w:rsidP="00D51A76">
      <w:pPr>
        <w:jc w:val="both"/>
        <w:rPr>
          <w:rFonts w:ascii="Arial" w:hAnsi="Arial" w:cs="Arial"/>
          <w:b/>
          <w:sz w:val="22"/>
          <w:szCs w:val="22"/>
        </w:rPr>
      </w:pPr>
    </w:p>
    <w:p w14:paraId="69DFF01F" w14:textId="19EC2128" w:rsidR="00D51A76" w:rsidRDefault="00D51A76" w:rsidP="00D51A76">
      <w:pPr>
        <w:jc w:val="both"/>
        <w:rPr>
          <w:rFonts w:ascii="Arial" w:hAnsi="Arial" w:cs="Arial"/>
          <w:sz w:val="22"/>
          <w:szCs w:val="22"/>
        </w:rPr>
      </w:pPr>
      <w:r w:rsidRPr="00D51A76">
        <w:rPr>
          <w:rFonts w:ascii="Arial" w:hAnsi="Arial" w:cs="Arial"/>
          <w:sz w:val="22"/>
          <w:szCs w:val="22"/>
        </w:rPr>
        <w:t xml:space="preserve">Current performance when compared to the three year average target for 2016/17 is classed as </w:t>
      </w:r>
      <w:r w:rsidR="00727641" w:rsidRPr="00727641">
        <w:rPr>
          <w:rFonts w:ascii="Arial" w:hAnsi="Arial" w:cs="Arial"/>
          <w:b/>
          <w:sz w:val="22"/>
          <w:szCs w:val="22"/>
        </w:rPr>
        <w:t>R</w:t>
      </w:r>
      <w:r w:rsidRPr="00727641">
        <w:rPr>
          <w:rFonts w:ascii="Arial" w:hAnsi="Arial" w:cs="Arial"/>
          <w:b/>
          <w:bCs/>
          <w:sz w:val="22"/>
          <w:szCs w:val="22"/>
        </w:rPr>
        <w:t>e</w:t>
      </w:r>
      <w:r w:rsidRPr="00D51A76">
        <w:rPr>
          <w:rFonts w:ascii="Arial" w:hAnsi="Arial" w:cs="Arial"/>
          <w:b/>
          <w:bCs/>
          <w:sz w:val="22"/>
          <w:szCs w:val="22"/>
        </w:rPr>
        <w:t>d</w:t>
      </w:r>
      <w:r w:rsidRPr="00D51A76">
        <w:rPr>
          <w:rFonts w:ascii="Arial" w:hAnsi="Arial" w:cs="Arial"/>
          <w:sz w:val="22"/>
          <w:szCs w:val="22"/>
        </w:rPr>
        <w:t xml:space="preserve">. Whilst overall the number of Non-Fire Emergency (Special Service) incidents is low compared to Fire and Unwanted Fire Alarm incidents, fatal and non-fatal casualties arising from Special Service incidents exceed those from accidental dwelling fires. In reviewing data over the last 5 years, the rate of special service fatal and non-fatal casualties per 10,000 population within Stirling is </w:t>
      </w:r>
      <w:r w:rsidRPr="00D51A76">
        <w:rPr>
          <w:rFonts w:ascii="Arial" w:hAnsi="Arial" w:cs="Arial"/>
          <w:bCs/>
          <w:sz w:val="22"/>
          <w:szCs w:val="22"/>
        </w:rPr>
        <w:t>8.19</w:t>
      </w:r>
      <w:r w:rsidRPr="00D51A76">
        <w:rPr>
          <w:rFonts w:ascii="Arial" w:hAnsi="Arial" w:cs="Arial"/>
          <w:sz w:val="22"/>
          <w:szCs w:val="22"/>
        </w:rPr>
        <w:t xml:space="preserve">, which is above the national average. </w:t>
      </w:r>
    </w:p>
    <w:p w14:paraId="5A813C64" w14:textId="77777777" w:rsidR="001538F5" w:rsidRPr="00D51A76" w:rsidRDefault="001538F5" w:rsidP="00D51A76">
      <w:pPr>
        <w:jc w:val="both"/>
        <w:rPr>
          <w:rFonts w:ascii="Arial" w:hAnsi="Arial" w:cs="Arial"/>
          <w:sz w:val="22"/>
          <w:szCs w:val="22"/>
        </w:rPr>
      </w:pPr>
    </w:p>
    <w:p w14:paraId="4F0BB219" w14:textId="77777777" w:rsidR="00D51A76" w:rsidRPr="00F01978" w:rsidRDefault="00D51A76" w:rsidP="001538F5">
      <w:pPr>
        <w:jc w:val="center"/>
        <w:rPr>
          <w:rFonts w:ascii="Arial" w:hAnsi="Arial" w:cs="Arial"/>
          <w:color w:val="FF0000"/>
        </w:rPr>
      </w:pPr>
      <w:r w:rsidRPr="00F01978">
        <w:rPr>
          <w:rFonts w:ascii="Arial" w:hAnsi="Arial" w:cs="Arial"/>
          <w:noProof/>
          <w:color w:val="FF0000"/>
        </w:rPr>
        <w:drawing>
          <wp:inline distT="0" distB="0" distL="0" distR="0" wp14:anchorId="0D6A9C56" wp14:editId="3E61B133">
            <wp:extent cx="4229100" cy="2697480"/>
            <wp:effectExtent l="0" t="0" r="0" b="762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BC44F3" w14:textId="77777777" w:rsidR="00D51A76" w:rsidRPr="009B7C01" w:rsidRDefault="00D51A76" w:rsidP="00D51A76">
      <w:pPr>
        <w:rPr>
          <w:rFonts w:ascii="Arial" w:hAnsi="Arial" w:cs="Arial"/>
        </w:rPr>
      </w:pPr>
    </w:p>
    <w:p w14:paraId="108E7F39" w14:textId="0DA27C15" w:rsidR="00D51A76" w:rsidRDefault="00D51A76" w:rsidP="00D51A76">
      <w:pPr>
        <w:jc w:val="both"/>
        <w:rPr>
          <w:rFonts w:ascii="Arial" w:hAnsi="Arial" w:cs="Arial"/>
          <w:sz w:val="22"/>
          <w:szCs w:val="22"/>
        </w:rPr>
      </w:pPr>
      <w:r w:rsidRPr="00D51A76">
        <w:rPr>
          <w:rFonts w:ascii="Arial" w:hAnsi="Arial" w:cs="Arial"/>
          <w:sz w:val="22"/>
          <w:szCs w:val="22"/>
        </w:rPr>
        <w:t>The number of casualties from special services shows an increasing trend. In reviewing the previous special service activity, attendances at Road Traffic Collisions accounted for 75% of all special service casualties within Stirling. An additional 17% of casualties have been recorded over the last five years as a result of attending incidents to either assist other agencies, forcing entry into premises to render assistance to occupants or the provision of medical response. The majority of special service casualties attend hospital with 48% of all casualties being deemed to have sustained slight injuries. Of all recorded injuries, both fatal and non-fatal, males accounted for 57% of all recorded.</w:t>
      </w:r>
    </w:p>
    <w:p w14:paraId="41C170DB" w14:textId="77777777" w:rsidR="001538F5" w:rsidRPr="00D51A76" w:rsidRDefault="001538F5" w:rsidP="00D51A76">
      <w:pPr>
        <w:jc w:val="both"/>
        <w:rPr>
          <w:rFonts w:ascii="Arial" w:hAnsi="Arial" w:cs="Arial"/>
          <w:color w:val="FF0000"/>
          <w:sz w:val="22"/>
          <w:szCs w:val="22"/>
        </w:rPr>
      </w:pPr>
    </w:p>
    <w:p w14:paraId="45B35FAF" w14:textId="77777777" w:rsidR="00D51A76" w:rsidRPr="00F01978" w:rsidRDefault="00D51A76" w:rsidP="00D51A76">
      <w:pPr>
        <w:rPr>
          <w:rFonts w:ascii="Arial" w:hAnsi="Arial" w:cs="Arial"/>
          <w:color w:val="FF0000"/>
        </w:rPr>
      </w:pPr>
      <w:r w:rsidRPr="001538F5">
        <w:rPr>
          <w:rFonts w:ascii="Arial" w:hAnsi="Arial" w:cs="Arial"/>
          <w:noProof/>
          <w:color w:val="FF0000"/>
        </w:rPr>
        <w:drawing>
          <wp:inline distT="0" distB="0" distL="0" distR="0" wp14:anchorId="62619576" wp14:editId="17EB6B4E">
            <wp:extent cx="3063240" cy="2905125"/>
            <wp:effectExtent l="0" t="0" r="381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F01978">
        <w:rPr>
          <w:rFonts w:ascii="Arial" w:hAnsi="Arial" w:cs="Arial"/>
          <w:color w:val="FF0000"/>
        </w:rPr>
        <w:t xml:space="preserve"> </w:t>
      </w:r>
      <w:r w:rsidRPr="001538F5">
        <w:rPr>
          <w:rFonts w:ascii="Arial" w:hAnsi="Arial" w:cs="Arial"/>
          <w:noProof/>
          <w:color w:val="FF0000"/>
        </w:rPr>
        <w:drawing>
          <wp:inline distT="0" distB="0" distL="0" distR="0" wp14:anchorId="74C03762" wp14:editId="4D53EE38">
            <wp:extent cx="3002280" cy="2905125"/>
            <wp:effectExtent l="0" t="0" r="7620" b="952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7E00757" w14:textId="77777777" w:rsidR="00D51A76" w:rsidRDefault="00D51A76" w:rsidP="00987A20">
      <w:pPr>
        <w:autoSpaceDE w:val="0"/>
        <w:autoSpaceDN w:val="0"/>
        <w:adjustRightInd w:val="0"/>
        <w:jc w:val="both"/>
        <w:rPr>
          <w:rFonts w:ascii="Arial" w:hAnsi="Arial" w:cs="Arial"/>
          <w:sz w:val="22"/>
          <w:szCs w:val="22"/>
        </w:rPr>
      </w:pPr>
    </w:p>
    <w:p w14:paraId="28865DF6" w14:textId="77777777" w:rsidR="00D51A76" w:rsidRDefault="00D51A76" w:rsidP="00987A20">
      <w:pPr>
        <w:autoSpaceDE w:val="0"/>
        <w:autoSpaceDN w:val="0"/>
        <w:adjustRightInd w:val="0"/>
        <w:jc w:val="both"/>
        <w:rPr>
          <w:rFonts w:ascii="Arial" w:hAnsi="Arial" w:cs="Arial"/>
          <w:sz w:val="22"/>
          <w:szCs w:val="22"/>
        </w:rPr>
      </w:pPr>
    </w:p>
    <w:p w14:paraId="43B05AD5" w14:textId="488FCDE3" w:rsidR="00D51A76" w:rsidRPr="001538F5" w:rsidRDefault="00D51A76" w:rsidP="00D51A76">
      <w:pPr>
        <w:rPr>
          <w:rFonts w:ascii="Arial" w:hAnsi="Arial" w:cs="Arial"/>
          <w:b/>
          <w:sz w:val="28"/>
          <w:szCs w:val="28"/>
        </w:rPr>
      </w:pPr>
      <w:r w:rsidRPr="001538F5">
        <w:rPr>
          <w:rFonts w:ascii="Arial" w:hAnsi="Arial" w:cs="Arial"/>
          <w:b/>
          <w:color w:val="A6192E"/>
          <w:sz w:val="28"/>
          <w:szCs w:val="28"/>
        </w:rPr>
        <w:t>Reduction in Unwanted Fire Alarm Signals</w:t>
      </w:r>
    </w:p>
    <w:p w14:paraId="31AAE6BB" w14:textId="77777777" w:rsidR="00D51A76" w:rsidRPr="008A42FA" w:rsidRDefault="00D51A76" w:rsidP="00D51A76">
      <w:pPr>
        <w:rPr>
          <w:rFonts w:ascii="Arial" w:hAnsi="Arial" w:cs="Arial"/>
          <w:b/>
        </w:rPr>
      </w:pPr>
    </w:p>
    <w:p w14:paraId="5F99829B" w14:textId="77777777" w:rsidR="00D51A76" w:rsidRPr="00D51A76" w:rsidRDefault="00D51A76" w:rsidP="00D51A76">
      <w:pPr>
        <w:jc w:val="both"/>
        <w:rPr>
          <w:rFonts w:ascii="Arial" w:hAnsi="Arial" w:cs="Arial"/>
          <w:b/>
          <w:sz w:val="22"/>
          <w:szCs w:val="22"/>
        </w:rPr>
      </w:pPr>
      <w:r w:rsidRPr="00D51A76">
        <w:rPr>
          <w:rFonts w:ascii="Arial" w:hAnsi="Arial" w:cs="Arial"/>
          <w:b/>
          <w:sz w:val="22"/>
          <w:szCs w:val="22"/>
        </w:rPr>
        <w:t>Performance Explained</w:t>
      </w:r>
    </w:p>
    <w:p w14:paraId="04625CFE" w14:textId="77777777" w:rsidR="00D51A76" w:rsidRPr="00D51A76" w:rsidRDefault="00D51A76" w:rsidP="00D51A76">
      <w:pPr>
        <w:jc w:val="both"/>
        <w:rPr>
          <w:rFonts w:ascii="Arial" w:hAnsi="Arial" w:cs="Arial"/>
          <w:b/>
          <w:sz w:val="22"/>
          <w:szCs w:val="22"/>
        </w:rPr>
      </w:pPr>
    </w:p>
    <w:p w14:paraId="1F345D5C" w14:textId="77777777" w:rsidR="00D51A76" w:rsidRDefault="00D51A76" w:rsidP="00D51A76">
      <w:pPr>
        <w:jc w:val="both"/>
        <w:rPr>
          <w:rFonts w:ascii="Arial" w:hAnsi="Arial" w:cs="Arial"/>
          <w:sz w:val="22"/>
          <w:szCs w:val="22"/>
        </w:rPr>
      </w:pPr>
      <w:r w:rsidRPr="00D51A76">
        <w:rPr>
          <w:rFonts w:ascii="Arial" w:hAnsi="Arial" w:cs="Arial"/>
          <w:sz w:val="22"/>
          <w:szCs w:val="22"/>
        </w:rPr>
        <w:t xml:space="preserve">Current performance when compared to the three year average target for 2016/17 is classed as </w:t>
      </w:r>
      <w:r w:rsidRPr="00D51A76">
        <w:rPr>
          <w:rFonts w:ascii="Arial" w:hAnsi="Arial" w:cs="Arial"/>
          <w:b/>
          <w:bCs/>
          <w:sz w:val="22"/>
          <w:szCs w:val="22"/>
        </w:rPr>
        <w:t xml:space="preserve">Red. </w:t>
      </w:r>
      <w:r w:rsidRPr="00D51A76">
        <w:rPr>
          <w:rFonts w:ascii="Arial" w:hAnsi="Arial" w:cs="Arial"/>
          <w:sz w:val="22"/>
          <w:szCs w:val="22"/>
        </w:rPr>
        <w:t xml:space="preserve">In total, all false alarms account for 60% of all operational mobilisations. Various types of false alarms fall into this category with Unwanted Fire Alarm Signals (UFAS) having been identified as the cause of 55% of all false alarms. In reviewing data over the last 5 years, the rate of UFAS incidents per 10,000 population within Stirling is </w:t>
      </w:r>
      <w:r w:rsidRPr="00D51A76">
        <w:rPr>
          <w:rFonts w:ascii="Arial" w:hAnsi="Arial" w:cs="Arial"/>
          <w:b/>
          <w:bCs/>
          <w:sz w:val="22"/>
          <w:szCs w:val="22"/>
        </w:rPr>
        <w:t>53.08</w:t>
      </w:r>
      <w:r w:rsidRPr="00D51A76">
        <w:rPr>
          <w:rFonts w:ascii="Arial" w:hAnsi="Arial" w:cs="Arial"/>
          <w:sz w:val="22"/>
          <w:szCs w:val="22"/>
        </w:rPr>
        <w:t>, which is 24</w:t>
      </w:r>
      <w:r w:rsidRPr="00D51A76">
        <w:rPr>
          <w:rFonts w:ascii="Arial" w:hAnsi="Arial" w:cs="Arial"/>
          <w:sz w:val="22"/>
          <w:szCs w:val="22"/>
          <w:vertAlign w:val="superscript"/>
        </w:rPr>
        <w:t>st</w:t>
      </w:r>
      <w:r w:rsidRPr="00D51A76">
        <w:rPr>
          <w:rFonts w:ascii="Arial" w:hAnsi="Arial" w:cs="Arial"/>
          <w:sz w:val="22"/>
          <w:szCs w:val="22"/>
        </w:rPr>
        <w:t xml:space="preserve"> highest when compared against all local authorities. </w:t>
      </w:r>
    </w:p>
    <w:p w14:paraId="656FD134" w14:textId="77777777" w:rsidR="001538F5" w:rsidRPr="00D51A76" w:rsidRDefault="001538F5" w:rsidP="00D51A76">
      <w:pPr>
        <w:jc w:val="both"/>
        <w:rPr>
          <w:rFonts w:ascii="Arial" w:hAnsi="Arial" w:cs="Arial"/>
          <w:color w:val="FF0000"/>
          <w:sz w:val="22"/>
          <w:szCs w:val="22"/>
        </w:rPr>
      </w:pPr>
    </w:p>
    <w:p w14:paraId="36EE5F39" w14:textId="77777777" w:rsidR="00D51A76" w:rsidRPr="00F01978" w:rsidRDefault="00D51A76" w:rsidP="001538F5">
      <w:pPr>
        <w:jc w:val="center"/>
        <w:rPr>
          <w:color w:val="FF0000"/>
        </w:rPr>
      </w:pPr>
      <w:r w:rsidRPr="00F01978">
        <w:rPr>
          <w:rFonts w:ascii="Arial" w:hAnsi="Arial" w:cs="Arial"/>
          <w:noProof/>
          <w:color w:val="FF0000"/>
        </w:rPr>
        <w:drawing>
          <wp:inline distT="0" distB="0" distL="0" distR="0" wp14:anchorId="3F12C01E" wp14:editId="35D1288C">
            <wp:extent cx="3756660" cy="2049780"/>
            <wp:effectExtent l="0" t="0" r="15240" b="762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C7EE83" w14:textId="77777777" w:rsidR="00D51A76" w:rsidRPr="00F01978" w:rsidRDefault="00D51A76" w:rsidP="00D51A76">
      <w:pPr>
        <w:rPr>
          <w:rFonts w:ascii="Arial" w:hAnsi="Arial" w:cs="Arial"/>
          <w:color w:val="FF0000"/>
        </w:rPr>
      </w:pPr>
    </w:p>
    <w:p w14:paraId="4EC42DB4" w14:textId="0DB9A2BE" w:rsidR="00D51A76" w:rsidRDefault="00D51A76" w:rsidP="00D51A76">
      <w:pPr>
        <w:jc w:val="both"/>
        <w:rPr>
          <w:rFonts w:ascii="Arial" w:hAnsi="Arial" w:cs="Arial"/>
          <w:color w:val="000000" w:themeColor="text1"/>
          <w:sz w:val="22"/>
          <w:szCs w:val="22"/>
        </w:rPr>
      </w:pPr>
      <w:r w:rsidRPr="00D51A76">
        <w:rPr>
          <w:rFonts w:ascii="Arial" w:hAnsi="Arial" w:cs="Arial"/>
          <w:sz w:val="22"/>
          <w:szCs w:val="22"/>
        </w:rPr>
        <w:t xml:space="preserve">The number of unwanted fire signals is reducing over the last five years. However, in 2016/17 it has returned to the levels witnessed in 2012/13.  In reviewing the previous 5 years activity for UFAS incidents, weekdays indicate the greatest prevalence of UFAS incidents with the period between 0800 hours and 1600 hours being the most common time period for UFAS incidents. Review of the data suggests these instances, on a general basis may be related to the most frequent periods of when buildings are occupied. In examining the cause of alarms, a number of factors may be attributed to the building occupants contributing to the alarm </w:t>
      </w:r>
      <w:r w:rsidRPr="00D51A76">
        <w:rPr>
          <w:rFonts w:ascii="Arial" w:hAnsi="Arial" w:cs="Arial"/>
          <w:color w:val="000000" w:themeColor="text1"/>
          <w:sz w:val="22"/>
          <w:szCs w:val="22"/>
        </w:rPr>
        <w:t>operating such as cooking, testing of the system, or accidently/carelessly setting off the alarm, which over the previous 5 years has accounted for 42% of all alarm activations. Review of the property types responsible for UFAS incidents has identified prisons, hospitals, shopping centres, residential homes, offices and schools as the most common property types which the SFRS attend, which collectively over the past 5 years has been responsible for 72% of all UFAS incidents.</w:t>
      </w:r>
    </w:p>
    <w:p w14:paraId="289868D6" w14:textId="77777777" w:rsidR="001538F5" w:rsidRPr="00D51A76" w:rsidRDefault="001538F5" w:rsidP="00D51A76">
      <w:pPr>
        <w:jc w:val="both"/>
        <w:rPr>
          <w:rFonts w:ascii="Arial" w:hAnsi="Arial" w:cs="Arial"/>
          <w:color w:val="FF0000"/>
          <w:sz w:val="22"/>
          <w:szCs w:val="22"/>
        </w:rPr>
      </w:pPr>
    </w:p>
    <w:p w14:paraId="571A2410" w14:textId="77777777" w:rsidR="00D51A76" w:rsidRPr="00F01978" w:rsidRDefault="00D51A76" w:rsidP="00D51A76">
      <w:pPr>
        <w:rPr>
          <w:rFonts w:ascii="Arial" w:hAnsi="Arial" w:cs="Arial"/>
          <w:color w:val="FF0000"/>
        </w:rPr>
      </w:pPr>
      <w:r w:rsidRPr="001538F5">
        <w:rPr>
          <w:rFonts w:ascii="Arial" w:hAnsi="Arial" w:cs="Arial"/>
          <w:noProof/>
          <w:color w:val="FF0000"/>
        </w:rPr>
        <w:drawing>
          <wp:inline distT="0" distB="0" distL="0" distR="0" wp14:anchorId="1EE274A6" wp14:editId="0DC8A5BF">
            <wp:extent cx="3055620" cy="2484120"/>
            <wp:effectExtent l="0" t="0" r="1143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F01978">
        <w:rPr>
          <w:rFonts w:ascii="Arial" w:hAnsi="Arial" w:cs="Arial"/>
          <w:color w:val="FF0000"/>
        </w:rPr>
        <w:t xml:space="preserve">  </w:t>
      </w:r>
      <w:r w:rsidRPr="001538F5">
        <w:rPr>
          <w:rFonts w:ascii="Arial" w:hAnsi="Arial" w:cs="Arial"/>
          <w:noProof/>
          <w:color w:val="FF0000"/>
        </w:rPr>
        <w:drawing>
          <wp:inline distT="0" distB="0" distL="0" distR="0" wp14:anchorId="0822792D" wp14:editId="659963A0">
            <wp:extent cx="2910840" cy="2470785"/>
            <wp:effectExtent l="0" t="0" r="3810" b="571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0E65334" w14:textId="77777777" w:rsidR="00D51A76" w:rsidRPr="00F01978" w:rsidRDefault="00D51A76" w:rsidP="00D51A76">
      <w:pPr>
        <w:rPr>
          <w:rFonts w:ascii="Arial" w:hAnsi="Arial" w:cs="Arial"/>
          <w:color w:val="FF0000"/>
        </w:rPr>
      </w:pPr>
    </w:p>
    <w:p w14:paraId="144E9AE5" w14:textId="77777777" w:rsidR="001C1A35" w:rsidRPr="00534F29" w:rsidRDefault="001C1A35" w:rsidP="001C1A35">
      <w:pPr>
        <w:rPr>
          <w:rFonts w:ascii="Arial" w:hAnsi="Arial" w:cs="Arial"/>
          <w:b/>
          <w:color w:val="A6192E"/>
          <w:sz w:val="28"/>
          <w:szCs w:val="28"/>
        </w:rPr>
      </w:pPr>
      <w:r w:rsidRPr="00534F29">
        <w:rPr>
          <w:rFonts w:ascii="Arial" w:hAnsi="Arial" w:cs="Arial"/>
          <w:b/>
          <w:color w:val="A6192E"/>
          <w:sz w:val="28"/>
          <w:szCs w:val="28"/>
        </w:rPr>
        <w:t>Engagement – what our stakeholders told us</w:t>
      </w:r>
    </w:p>
    <w:p w14:paraId="044622A8" w14:textId="77777777" w:rsidR="001C1A35" w:rsidRPr="00DA645E" w:rsidRDefault="001C1A35" w:rsidP="001C1A35">
      <w:pPr>
        <w:rPr>
          <w:rFonts w:ascii="Arial" w:hAnsi="Arial" w:cs="Arial"/>
          <w:b/>
        </w:rPr>
      </w:pPr>
    </w:p>
    <w:p w14:paraId="269906C7" w14:textId="77777777" w:rsidR="001C1A35" w:rsidRDefault="001C1A35" w:rsidP="00534F29">
      <w:pPr>
        <w:pStyle w:val="Default"/>
        <w:jc w:val="both"/>
        <w:rPr>
          <w:color w:val="auto"/>
          <w:sz w:val="22"/>
          <w:szCs w:val="22"/>
        </w:rPr>
      </w:pPr>
      <w:r w:rsidRPr="00DA645E">
        <w:rPr>
          <w:color w:val="auto"/>
          <w:sz w:val="22"/>
          <w:szCs w:val="22"/>
        </w:rPr>
        <w:t xml:space="preserve">Building on the intelligence we gathered during the engagement and consultation of our Strategic Plan 2016-19 we re-engaged with our key stakeholders to seek further views on our local service delivery. </w:t>
      </w:r>
    </w:p>
    <w:p w14:paraId="528F7983" w14:textId="77777777" w:rsidR="00534F29" w:rsidRPr="00DA645E" w:rsidRDefault="00534F29" w:rsidP="001C1A35">
      <w:pPr>
        <w:pStyle w:val="Default"/>
        <w:spacing w:line="276" w:lineRule="auto"/>
        <w:jc w:val="both"/>
        <w:rPr>
          <w:color w:val="auto"/>
          <w:sz w:val="22"/>
          <w:szCs w:val="22"/>
        </w:rPr>
      </w:pPr>
    </w:p>
    <w:p w14:paraId="31B98CF3" w14:textId="77777777" w:rsidR="00534F29" w:rsidRDefault="001C1A35" w:rsidP="00534F29">
      <w:pPr>
        <w:pStyle w:val="Default"/>
        <w:jc w:val="both"/>
        <w:rPr>
          <w:color w:val="auto"/>
          <w:sz w:val="22"/>
          <w:szCs w:val="22"/>
        </w:rPr>
      </w:pPr>
      <w:r w:rsidRPr="00DA645E">
        <w:rPr>
          <w:color w:val="auto"/>
          <w:sz w:val="22"/>
          <w:szCs w:val="22"/>
        </w:rPr>
        <w:t xml:space="preserve">Feedback identified the SFRS’s engagement with young people and our communities as a strength and whilst the SFRS is a national organisation it is seen as having the ability to deliver its services on a local basis. Comments also suggested the SFRS should consider how it can develop further opportunities to share resources and further strengthen its partnership links including those within the Third Sector. </w:t>
      </w:r>
    </w:p>
    <w:p w14:paraId="435CBBA3" w14:textId="77777777" w:rsidR="00534F29" w:rsidRDefault="00534F29" w:rsidP="00534F29">
      <w:pPr>
        <w:pStyle w:val="Default"/>
        <w:jc w:val="both"/>
        <w:rPr>
          <w:color w:val="auto"/>
          <w:sz w:val="22"/>
          <w:szCs w:val="22"/>
        </w:rPr>
      </w:pPr>
    </w:p>
    <w:p w14:paraId="57A5D3FD" w14:textId="3661072B" w:rsidR="001C1A35" w:rsidRPr="00DA645E" w:rsidRDefault="001C1A35" w:rsidP="00534F29">
      <w:pPr>
        <w:pStyle w:val="Default"/>
        <w:jc w:val="both"/>
        <w:rPr>
          <w:color w:val="auto"/>
          <w:sz w:val="22"/>
          <w:szCs w:val="22"/>
        </w:rPr>
      </w:pPr>
      <w:r w:rsidRPr="00DA645E">
        <w:rPr>
          <w:color w:val="auto"/>
          <w:sz w:val="22"/>
          <w:szCs w:val="22"/>
        </w:rPr>
        <w:t xml:space="preserve">It was recognised that persons at risk are often known to other organisations therefore areas such as information sharing; joint training and an integrated joint response within a partnership environment could enhance the safety and well-being of those at risk within our communities. Feedback also highlighted the need to consider the provision of services and support to persons who are sensory impaired and this was highlighted as a common challenge across organisations. Overall an underlying theme was one where the SFRS should continue to promote the safety and well-being within the home environment. </w:t>
      </w:r>
    </w:p>
    <w:p w14:paraId="0FC266A2" w14:textId="77777777" w:rsidR="001C1A35" w:rsidRPr="00DA645E" w:rsidRDefault="001C1A35" w:rsidP="001C1A35">
      <w:pPr>
        <w:pStyle w:val="Default"/>
        <w:rPr>
          <w:color w:val="auto"/>
          <w:sz w:val="22"/>
          <w:szCs w:val="22"/>
        </w:rPr>
      </w:pPr>
    </w:p>
    <w:p w14:paraId="2FE80089" w14:textId="77777777" w:rsidR="001C1A35" w:rsidRPr="00534F29" w:rsidRDefault="001C1A35" w:rsidP="001C1A35">
      <w:pPr>
        <w:pStyle w:val="Default"/>
        <w:rPr>
          <w:b/>
          <w:color w:val="A6192E"/>
          <w:sz w:val="28"/>
          <w:szCs w:val="28"/>
        </w:rPr>
      </w:pPr>
      <w:r w:rsidRPr="00534F29">
        <w:rPr>
          <w:b/>
          <w:color w:val="A6192E"/>
          <w:sz w:val="28"/>
          <w:szCs w:val="28"/>
        </w:rPr>
        <w:t>Scrutiny – what we learned from the Inspectorate</w:t>
      </w:r>
    </w:p>
    <w:p w14:paraId="72695DA2" w14:textId="77777777" w:rsidR="001C1A35" w:rsidRPr="00DA645E" w:rsidRDefault="001C1A35" w:rsidP="001C1A35">
      <w:pPr>
        <w:pStyle w:val="Default"/>
        <w:rPr>
          <w:color w:val="auto"/>
          <w:sz w:val="22"/>
          <w:szCs w:val="22"/>
        </w:rPr>
      </w:pPr>
    </w:p>
    <w:p w14:paraId="4F3A1633" w14:textId="77777777" w:rsidR="001C1A35" w:rsidRPr="001C1A35" w:rsidRDefault="001C1A35" w:rsidP="00534F29">
      <w:pPr>
        <w:pStyle w:val="Default"/>
        <w:jc w:val="both"/>
        <w:rPr>
          <w:color w:val="auto"/>
          <w:sz w:val="22"/>
          <w:szCs w:val="22"/>
        </w:rPr>
      </w:pPr>
      <w:r w:rsidRPr="001C1A35">
        <w:rPr>
          <w:color w:val="auto"/>
          <w:sz w:val="22"/>
          <w:szCs w:val="22"/>
        </w:rPr>
        <w:t xml:space="preserve">To support this formal review the outcomes from HM Fire Service Inspectorate’s Local Area Inspections, that examine the development and delivery of Local Fire and Rescue Plans, have also been considered.  </w:t>
      </w:r>
    </w:p>
    <w:p w14:paraId="0272703B" w14:textId="77777777" w:rsidR="001C1A35" w:rsidRPr="001C1A35" w:rsidRDefault="001C1A35" w:rsidP="00534F29">
      <w:pPr>
        <w:pStyle w:val="Default"/>
        <w:jc w:val="both"/>
        <w:rPr>
          <w:color w:val="auto"/>
          <w:sz w:val="22"/>
          <w:szCs w:val="22"/>
        </w:rPr>
      </w:pPr>
    </w:p>
    <w:p w14:paraId="7B4848C5" w14:textId="77777777" w:rsidR="001C1A35" w:rsidRDefault="001C1A35" w:rsidP="00534F29">
      <w:pPr>
        <w:jc w:val="both"/>
        <w:rPr>
          <w:rFonts w:ascii="Arial" w:hAnsi="Arial" w:cs="Arial"/>
          <w:sz w:val="22"/>
          <w:szCs w:val="22"/>
        </w:rPr>
      </w:pPr>
      <w:r w:rsidRPr="001C1A35">
        <w:rPr>
          <w:rFonts w:ascii="Arial" w:hAnsi="Arial" w:cs="Arial"/>
          <w:sz w:val="22"/>
          <w:szCs w:val="22"/>
        </w:rPr>
        <w:t xml:space="preserve">By undertaken inspections of our service delivery within local authority areas, HMFSI can provide independent assurance to Scottish Ministers and the public that adequate provision for local service delivery is being made, there is equal access to specialist resources, service provision and partnership working is of sound quality and strong scrutiny arrangements are in place.  This allows them to maintain a good awareness of how well we are functioning and build intelligence to inform future inspections.   </w:t>
      </w:r>
    </w:p>
    <w:p w14:paraId="32704B5D" w14:textId="77777777" w:rsidR="00534F29" w:rsidRPr="001C1A35" w:rsidRDefault="00534F29" w:rsidP="00534F29">
      <w:pPr>
        <w:jc w:val="both"/>
        <w:rPr>
          <w:rFonts w:ascii="Arial" w:hAnsi="Arial" w:cs="Arial"/>
          <w:sz w:val="22"/>
          <w:szCs w:val="22"/>
        </w:rPr>
      </w:pPr>
    </w:p>
    <w:p w14:paraId="1F1C9665" w14:textId="77777777" w:rsidR="001C1A35" w:rsidRPr="001C1A35" w:rsidRDefault="001C1A35" w:rsidP="00534F29">
      <w:pPr>
        <w:pStyle w:val="Default"/>
        <w:jc w:val="both"/>
        <w:rPr>
          <w:color w:val="auto"/>
          <w:sz w:val="22"/>
          <w:szCs w:val="22"/>
        </w:rPr>
      </w:pPr>
      <w:r w:rsidRPr="001C1A35">
        <w:rPr>
          <w:color w:val="auto"/>
          <w:sz w:val="22"/>
          <w:szCs w:val="22"/>
        </w:rPr>
        <w:t xml:space="preserve">By the end of the period 2016/17 it is planned that SFRS service provision will have been examined in nine local authority areas.  These areas were Aberdeen City, East Renfrewshire, Western Isles, West Lothian, Dundee, South Ayrshire, Scottish Borders, Moray and Glasgow City.   Once prepared, these inspection reports are published by HMFSI on their </w:t>
      </w:r>
      <w:hyperlink r:id="rId32" w:history="1">
        <w:r w:rsidRPr="001C1A35">
          <w:rPr>
            <w:rStyle w:val="Hyperlink"/>
            <w:color w:val="auto"/>
            <w:sz w:val="22"/>
            <w:szCs w:val="22"/>
          </w:rPr>
          <w:t>website</w:t>
        </w:r>
      </w:hyperlink>
      <w:r w:rsidRPr="001C1A35">
        <w:rPr>
          <w:color w:val="auto"/>
          <w:sz w:val="22"/>
          <w:szCs w:val="22"/>
        </w:rPr>
        <w:t xml:space="preserve">.  </w:t>
      </w:r>
    </w:p>
    <w:p w14:paraId="26C26F98" w14:textId="77777777" w:rsidR="001C1A35" w:rsidRPr="001C1A35" w:rsidRDefault="001C1A35" w:rsidP="00534F29">
      <w:pPr>
        <w:pStyle w:val="Default"/>
        <w:jc w:val="both"/>
        <w:rPr>
          <w:color w:val="auto"/>
          <w:sz w:val="22"/>
          <w:szCs w:val="22"/>
        </w:rPr>
      </w:pPr>
    </w:p>
    <w:p w14:paraId="0C3FD7F7" w14:textId="77777777" w:rsidR="001C1A35" w:rsidRPr="001C1A35" w:rsidRDefault="001C1A35" w:rsidP="00534F29">
      <w:pPr>
        <w:pStyle w:val="Default"/>
        <w:jc w:val="both"/>
        <w:rPr>
          <w:color w:val="auto"/>
          <w:sz w:val="22"/>
          <w:szCs w:val="22"/>
        </w:rPr>
      </w:pPr>
      <w:r w:rsidRPr="001C1A35">
        <w:rPr>
          <w:color w:val="auto"/>
          <w:sz w:val="22"/>
          <w:szCs w:val="22"/>
        </w:rPr>
        <w:t xml:space="preserve">On examining the published Local Area Inspection Reports, we noted that HMFSI generally felt there was a need to identify unique characteristics for each local area and provide clearer use of risk-based evidence to identify and shape priorities across our Local Plans.  They would also like to see a stronger emphasis made on specific local priorities and contribution supported by appropriate level of local performance measures.  Local priorities and measures should be balanced against our national needs as well as aligned to the collaborative partnership working requirements of Local Outcome Improvement Plan delivery.  </w:t>
      </w:r>
    </w:p>
    <w:p w14:paraId="084CC59F" w14:textId="77777777" w:rsidR="001C1A35" w:rsidRPr="00DA645E" w:rsidRDefault="001C1A35" w:rsidP="00534F29">
      <w:pPr>
        <w:pStyle w:val="Default"/>
        <w:rPr>
          <w:color w:val="auto"/>
          <w:sz w:val="22"/>
          <w:szCs w:val="22"/>
        </w:rPr>
      </w:pPr>
    </w:p>
    <w:p w14:paraId="76DE7EA1" w14:textId="77777777" w:rsidR="00D51A76" w:rsidRDefault="00D51A76" w:rsidP="00987A20">
      <w:pPr>
        <w:autoSpaceDE w:val="0"/>
        <w:autoSpaceDN w:val="0"/>
        <w:adjustRightInd w:val="0"/>
        <w:jc w:val="both"/>
        <w:rPr>
          <w:rFonts w:ascii="Arial" w:hAnsi="Arial" w:cs="Arial"/>
          <w:sz w:val="22"/>
          <w:szCs w:val="22"/>
        </w:rPr>
      </w:pPr>
    </w:p>
    <w:p w14:paraId="1853ADA9" w14:textId="77777777" w:rsidR="001C1A35" w:rsidRDefault="001C1A35" w:rsidP="00987A20">
      <w:pPr>
        <w:autoSpaceDE w:val="0"/>
        <w:autoSpaceDN w:val="0"/>
        <w:adjustRightInd w:val="0"/>
        <w:jc w:val="both"/>
        <w:rPr>
          <w:rFonts w:ascii="Arial" w:hAnsi="Arial" w:cs="Arial"/>
          <w:sz w:val="22"/>
          <w:szCs w:val="22"/>
        </w:rPr>
      </w:pPr>
    </w:p>
    <w:p w14:paraId="5D39E2B7" w14:textId="77777777" w:rsidR="001C1A35" w:rsidRDefault="001C1A35" w:rsidP="00987A20">
      <w:pPr>
        <w:autoSpaceDE w:val="0"/>
        <w:autoSpaceDN w:val="0"/>
        <w:adjustRightInd w:val="0"/>
        <w:jc w:val="both"/>
        <w:rPr>
          <w:rFonts w:ascii="Arial" w:hAnsi="Arial" w:cs="Arial"/>
          <w:sz w:val="22"/>
          <w:szCs w:val="22"/>
        </w:rPr>
      </w:pPr>
    </w:p>
    <w:p w14:paraId="10BB7AC6" w14:textId="77777777" w:rsidR="001C1A35" w:rsidRDefault="001C1A35" w:rsidP="00987A20">
      <w:pPr>
        <w:autoSpaceDE w:val="0"/>
        <w:autoSpaceDN w:val="0"/>
        <w:adjustRightInd w:val="0"/>
        <w:jc w:val="both"/>
        <w:rPr>
          <w:rFonts w:ascii="Arial" w:hAnsi="Arial" w:cs="Arial"/>
          <w:sz w:val="22"/>
          <w:szCs w:val="22"/>
        </w:rPr>
      </w:pPr>
    </w:p>
    <w:p w14:paraId="0361ADD0" w14:textId="77777777" w:rsidR="001C1A35" w:rsidRDefault="001C1A35" w:rsidP="00987A20">
      <w:pPr>
        <w:autoSpaceDE w:val="0"/>
        <w:autoSpaceDN w:val="0"/>
        <w:adjustRightInd w:val="0"/>
        <w:jc w:val="both"/>
        <w:rPr>
          <w:rFonts w:ascii="Arial" w:hAnsi="Arial" w:cs="Arial"/>
          <w:sz w:val="22"/>
          <w:szCs w:val="22"/>
        </w:rPr>
      </w:pPr>
    </w:p>
    <w:p w14:paraId="62FF97BD" w14:textId="77777777" w:rsidR="00534F29" w:rsidRDefault="00534F29" w:rsidP="00987A20">
      <w:pPr>
        <w:autoSpaceDE w:val="0"/>
        <w:autoSpaceDN w:val="0"/>
        <w:adjustRightInd w:val="0"/>
        <w:jc w:val="both"/>
        <w:rPr>
          <w:rFonts w:ascii="Arial" w:hAnsi="Arial" w:cs="Arial"/>
          <w:sz w:val="22"/>
          <w:szCs w:val="22"/>
        </w:rPr>
      </w:pPr>
    </w:p>
    <w:p w14:paraId="5555BAA9" w14:textId="77777777" w:rsidR="001C1A35" w:rsidRDefault="001C1A35" w:rsidP="00987A20">
      <w:pPr>
        <w:autoSpaceDE w:val="0"/>
        <w:autoSpaceDN w:val="0"/>
        <w:adjustRightInd w:val="0"/>
        <w:jc w:val="both"/>
        <w:rPr>
          <w:rFonts w:ascii="Arial" w:hAnsi="Arial" w:cs="Arial"/>
          <w:sz w:val="22"/>
          <w:szCs w:val="22"/>
        </w:rPr>
      </w:pPr>
    </w:p>
    <w:p w14:paraId="54E6C4C7" w14:textId="77777777" w:rsidR="001C1A35" w:rsidRDefault="001C1A35" w:rsidP="00987A20">
      <w:pPr>
        <w:autoSpaceDE w:val="0"/>
        <w:autoSpaceDN w:val="0"/>
        <w:adjustRightInd w:val="0"/>
        <w:jc w:val="both"/>
        <w:rPr>
          <w:rFonts w:ascii="Arial" w:hAnsi="Arial" w:cs="Arial"/>
          <w:sz w:val="22"/>
          <w:szCs w:val="22"/>
        </w:rPr>
      </w:pPr>
    </w:p>
    <w:p w14:paraId="391CA9D2" w14:textId="77777777" w:rsidR="001C1A35" w:rsidRDefault="001C1A35" w:rsidP="001C1A35">
      <w:pPr>
        <w:rPr>
          <w:rFonts w:ascii="Arial" w:hAnsi="Arial" w:cs="Arial"/>
          <w:b/>
          <w:color w:val="A6192E"/>
          <w:sz w:val="28"/>
          <w:szCs w:val="28"/>
        </w:rPr>
      </w:pPr>
      <w:r w:rsidRPr="00534F29">
        <w:rPr>
          <w:rFonts w:ascii="Arial" w:hAnsi="Arial" w:cs="Arial"/>
          <w:b/>
          <w:color w:val="A6192E"/>
          <w:sz w:val="28"/>
          <w:szCs w:val="28"/>
        </w:rPr>
        <w:t xml:space="preserve">Conclusion </w:t>
      </w:r>
    </w:p>
    <w:p w14:paraId="5CFC03CC" w14:textId="77777777" w:rsidR="00534F29" w:rsidRPr="00534F29" w:rsidRDefault="00534F29" w:rsidP="001C1A35">
      <w:pPr>
        <w:rPr>
          <w:rFonts w:ascii="Arial" w:hAnsi="Arial" w:cs="Arial"/>
          <w:b/>
          <w:color w:val="A6192E"/>
          <w:sz w:val="28"/>
          <w:szCs w:val="28"/>
        </w:rPr>
      </w:pPr>
    </w:p>
    <w:p w14:paraId="1BABBFE6" w14:textId="77777777" w:rsidR="001C1A35" w:rsidRDefault="001C1A35" w:rsidP="00534F29">
      <w:pPr>
        <w:pStyle w:val="Default"/>
        <w:jc w:val="both"/>
        <w:rPr>
          <w:color w:val="auto"/>
          <w:sz w:val="22"/>
          <w:szCs w:val="22"/>
        </w:rPr>
      </w:pPr>
      <w:r w:rsidRPr="001C1A35">
        <w:rPr>
          <w:color w:val="auto"/>
          <w:sz w:val="22"/>
          <w:szCs w:val="22"/>
        </w:rPr>
        <w:t xml:space="preserve">In reviewing the progress against the priorities within the Local Fire and Rescue Plan for Stirling (2014 – 2017), it has been identified that operational demand in the longer term has been reducing, however review of activity during the previous and current fiscal year indicates fluctuations in operational demand has been occurring. </w:t>
      </w:r>
    </w:p>
    <w:p w14:paraId="026D227A" w14:textId="77777777" w:rsidR="00534F29" w:rsidRPr="001C1A35" w:rsidRDefault="00534F29" w:rsidP="00534F29">
      <w:pPr>
        <w:pStyle w:val="Default"/>
        <w:jc w:val="both"/>
        <w:rPr>
          <w:color w:val="auto"/>
          <w:sz w:val="22"/>
          <w:szCs w:val="22"/>
        </w:rPr>
      </w:pPr>
    </w:p>
    <w:p w14:paraId="26ED8F88" w14:textId="77777777" w:rsidR="001C1A35" w:rsidRDefault="001C1A35" w:rsidP="00534F29">
      <w:pPr>
        <w:jc w:val="both"/>
        <w:rPr>
          <w:rFonts w:ascii="Arial" w:hAnsi="Arial" w:cs="Arial"/>
          <w:sz w:val="22"/>
          <w:szCs w:val="22"/>
        </w:rPr>
      </w:pPr>
      <w:r w:rsidRPr="001C1A35">
        <w:rPr>
          <w:rFonts w:ascii="Arial" w:hAnsi="Arial" w:cs="Arial"/>
          <w:sz w:val="22"/>
          <w:szCs w:val="22"/>
        </w:rPr>
        <w:t>A key approach to reducing demand is through effective engagement and by working in partnership to support our more vulnerable members within our communities. As a national organisation the SFRS is also progressing with its transformational agenda to develop the organisation in an environment of continuous financial challenges. This presents opportunities for the SFRS to develop its role at a local level in the protection of our communities across Stirling through the strengthening of existing partnerships, whilst seeking new partnership approaches to manage, mitigate and reduce risk.</w:t>
      </w:r>
    </w:p>
    <w:p w14:paraId="2FD05C9E" w14:textId="77777777" w:rsidR="00534F29" w:rsidRPr="001C1A35" w:rsidRDefault="00534F29" w:rsidP="00534F29">
      <w:pPr>
        <w:jc w:val="both"/>
        <w:rPr>
          <w:rFonts w:ascii="Arial" w:hAnsi="Arial" w:cs="Arial"/>
          <w:sz w:val="22"/>
          <w:szCs w:val="22"/>
        </w:rPr>
      </w:pPr>
    </w:p>
    <w:p w14:paraId="02A817FF" w14:textId="77777777" w:rsidR="001C1A35" w:rsidRDefault="001C1A35" w:rsidP="00534F29">
      <w:pPr>
        <w:pStyle w:val="Default"/>
        <w:jc w:val="both"/>
        <w:rPr>
          <w:color w:val="auto"/>
          <w:sz w:val="22"/>
          <w:szCs w:val="22"/>
        </w:rPr>
      </w:pPr>
      <w:r w:rsidRPr="001C1A35">
        <w:rPr>
          <w:color w:val="auto"/>
          <w:sz w:val="22"/>
          <w:szCs w:val="22"/>
        </w:rPr>
        <w:t xml:space="preserve">To support the pursuance of transformational efficiencies, reducing service demand is essential to provide the means to utilise the totality of SFRS resources to maximum benefit. It is recognised however, regardless of how active the SFRS is in its prevention agenda, operational demand will still be present. It is therefore vital to ensure the SFRS is able to respond as and when such demand arises. The process of identifying and reviewing the range of risks within our communities will provide the basis as to how we will manage and respond to such risks to safeguard the safety of our firefighters and our communities. </w:t>
      </w:r>
    </w:p>
    <w:p w14:paraId="677DD903" w14:textId="77777777" w:rsidR="00534F29" w:rsidRPr="001C1A35" w:rsidRDefault="00534F29" w:rsidP="00534F29">
      <w:pPr>
        <w:pStyle w:val="Default"/>
        <w:jc w:val="both"/>
        <w:rPr>
          <w:color w:val="auto"/>
          <w:sz w:val="22"/>
          <w:szCs w:val="22"/>
        </w:rPr>
      </w:pPr>
    </w:p>
    <w:p w14:paraId="05AD3EF9" w14:textId="77777777" w:rsidR="001C1A35" w:rsidRPr="001C1A35" w:rsidRDefault="001C1A35" w:rsidP="00534F29">
      <w:pPr>
        <w:jc w:val="both"/>
        <w:rPr>
          <w:rFonts w:ascii="Arial" w:hAnsi="Arial" w:cs="Arial"/>
          <w:sz w:val="22"/>
          <w:szCs w:val="22"/>
        </w:rPr>
      </w:pPr>
      <w:r w:rsidRPr="001C1A35">
        <w:rPr>
          <w:rFonts w:ascii="Arial" w:hAnsi="Arial" w:cs="Arial"/>
          <w:sz w:val="22"/>
          <w:szCs w:val="22"/>
        </w:rPr>
        <w:t>The review of the Local Fire and Rescue Plan for Stirling over the period 2014 – 2017 has considered the progress that has been made to date and supported the development of key priorities for the next plan. Meeting the challenges in the new plan will not be achieved in isolation but through effective partnership working and as such, the new Local Fire and Rescue Plan will seek to compliment and contribute to the integrated approach to Community Planning within Stirling.</w:t>
      </w:r>
    </w:p>
    <w:p w14:paraId="625585D0" w14:textId="77777777" w:rsidR="001C1A35" w:rsidRPr="00DA645E" w:rsidRDefault="001C1A35" w:rsidP="001C1A35">
      <w:pPr>
        <w:rPr>
          <w:rFonts w:ascii="Arial" w:hAnsi="Arial" w:cs="Arial"/>
          <w:b/>
        </w:rPr>
      </w:pPr>
    </w:p>
    <w:p w14:paraId="05FB659B" w14:textId="77777777" w:rsidR="001C1A35" w:rsidRPr="00DA645E" w:rsidRDefault="001C1A35" w:rsidP="001C1A35">
      <w:pPr>
        <w:rPr>
          <w:rFonts w:ascii="Arial" w:hAnsi="Arial" w:cs="Arial"/>
          <w:b/>
        </w:rPr>
      </w:pPr>
    </w:p>
    <w:p w14:paraId="1875A8D4" w14:textId="77777777" w:rsidR="001C1A35" w:rsidRPr="00534F29" w:rsidRDefault="001C1A35" w:rsidP="001C1A35">
      <w:pPr>
        <w:rPr>
          <w:rFonts w:ascii="Arial" w:hAnsi="Arial" w:cs="Arial"/>
          <w:b/>
          <w:color w:val="A6192E"/>
          <w:sz w:val="28"/>
          <w:szCs w:val="28"/>
        </w:rPr>
      </w:pPr>
      <w:r w:rsidRPr="00534F29">
        <w:rPr>
          <w:rFonts w:ascii="Arial" w:hAnsi="Arial" w:cs="Arial"/>
          <w:b/>
          <w:color w:val="A6192E"/>
          <w:sz w:val="28"/>
          <w:szCs w:val="28"/>
        </w:rPr>
        <w:t>Recommendation</w:t>
      </w:r>
    </w:p>
    <w:p w14:paraId="071D56F7" w14:textId="77777777" w:rsidR="001C1A35" w:rsidRPr="001C1A35" w:rsidRDefault="001C1A35" w:rsidP="001C1A35">
      <w:pPr>
        <w:rPr>
          <w:rFonts w:ascii="Arial" w:hAnsi="Arial" w:cs="Arial"/>
          <w:b/>
          <w:color w:val="A6192E"/>
          <w:sz w:val="32"/>
          <w:szCs w:val="32"/>
        </w:rPr>
      </w:pPr>
    </w:p>
    <w:p w14:paraId="74DA855C" w14:textId="77777777" w:rsidR="001C1A35" w:rsidRPr="001C1A35" w:rsidRDefault="001C1A35" w:rsidP="001C1A35">
      <w:pPr>
        <w:jc w:val="both"/>
        <w:rPr>
          <w:rFonts w:ascii="Arial" w:hAnsi="Arial" w:cs="Arial"/>
          <w:sz w:val="22"/>
          <w:szCs w:val="22"/>
        </w:rPr>
      </w:pPr>
      <w:r w:rsidRPr="001C1A35">
        <w:rPr>
          <w:rFonts w:ascii="Arial" w:hAnsi="Arial" w:cs="Arial"/>
          <w:sz w:val="22"/>
          <w:szCs w:val="22"/>
        </w:rPr>
        <w:t>It is recommended that the following priorities are taken forward in the new Local Fire and Rescue Plan for Stirling area:</w:t>
      </w:r>
    </w:p>
    <w:p w14:paraId="7E3B0B09" w14:textId="77777777" w:rsidR="001C1A35" w:rsidRPr="001C1A35" w:rsidRDefault="001C1A35" w:rsidP="001C1A35">
      <w:pPr>
        <w:pStyle w:val="Default"/>
        <w:jc w:val="both"/>
        <w:rPr>
          <w:color w:val="auto"/>
          <w:sz w:val="22"/>
          <w:szCs w:val="22"/>
        </w:rPr>
      </w:pPr>
    </w:p>
    <w:p w14:paraId="3A2358C6" w14:textId="77777777" w:rsidR="001C1A35" w:rsidRPr="001C1A35" w:rsidRDefault="001C1A35" w:rsidP="001C1A35">
      <w:pPr>
        <w:pStyle w:val="Default"/>
        <w:jc w:val="both"/>
        <w:rPr>
          <w:color w:val="auto"/>
          <w:sz w:val="22"/>
          <w:szCs w:val="22"/>
        </w:rPr>
      </w:pPr>
      <w:r w:rsidRPr="001C1A35">
        <w:rPr>
          <w:color w:val="auto"/>
          <w:sz w:val="22"/>
          <w:szCs w:val="22"/>
        </w:rPr>
        <w:t xml:space="preserve">Priority 1: Domestic Safety </w:t>
      </w:r>
    </w:p>
    <w:p w14:paraId="79116B2F" w14:textId="77777777" w:rsidR="001C1A35" w:rsidRPr="001C1A35" w:rsidRDefault="001C1A35" w:rsidP="001C1A35">
      <w:pPr>
        <w:pStyle w:val="Default"/>
        <w:jc w:val="both"/>
        <w:rPr>
          <w:color w:val="auto"/>
          <w:sz w:val="22"/>
          <w:szCs w:val="22"/>
        </w:rPr>
      </w:pPr>
    </w:p>
    <w:p w14:paraId="2C49E050" w14:textId="77777777" w:rsidR="001C1A35" w:rsidRPr="001C1A35" w:rsidRDefault="001C1A35" w:rsidP="001C1A35">
      <w:pPr>
        <w:pStyle w:val="Default"/>
        <w:jc w:val="both"/>
        <w:rPr>
          <w:color w:val="auto"/>
          <w:sz w:val="22"/>
          <w:szCs w:val="22"/>
        </w:rPr>
      </w:pPr>
      <w:r w:rsidRPr="001C1A35">
        <w:rPr>
          <w:color w:val="auto"/>
          <w:sz w:val="22"/>
          <w:szCs w:val="22"/>
        </w:rPr>
        <w:t xml:space="preserve">Priority 2: Building and Environment Risks </w:t>
      </w:r>
    </w:p>
    <w:p w14:paraId="292F28D1" w14:textId="77777777" w:rsidR="001C1A35" w:rsidRPr="001C1A35" w:rsidRDefault="001C1A35" w:rsidP="001C1A35">
      <w:pPr>
        <w:pStyle w:val="Default"/>
        <w:jc w:val="both"/>
        <w:rPr>
          <w:color w:val="auto"/>
          <w:sz w:val="22"/>
          <w:szCs w:val="22"/>
        </w:rPr>
      </w:pPr>
    </w:p>
    <w:p w14:paraId="113DA5E8" w14:textId="77777777" w:rsidR="001C1A35" w:rsidRPr="001C1A35" w:rsidRDefault="001C1A35" w:rsidP="001C1A35">
      <w:pPr>
        <w:pStyle w:val="Default"/>
        <w:jc w:val="both"/>
        <w:rPr>
          <w:color w:val="auto"/>
          <w:sz w:val="22"/>
          <w:szCs w:val="22"/>
        </w:rPr>
      </w:pPr>
      <w:r w:rsidRPr="001C1A35">
        <w:rPr>
          <w:color w:val="auto"/>
          <w:sz w:val="22"/>
          <w:szCs w:val="22"/>
        </w:rPr>
        <w:t>Priority 3: Transport, Environment and Road Risk</w:t>
      </w:r>
    </w:p>
    <w:p w14:paraId="05126FCE" w14:textId="77777777" w:rsidR="001C1A35" w:rsidRPr="001C1A35" w:rsidRDefault="001C1A35" w:rsidP="001C1A35">
      <w:pPr>
        <w:pStyle w:val="Default"/>
        <w:jc w:val="both"/>
        <w:rPr>
          <w:color w:val="auto"/>
          <w:sz w:val="22"/>
          <w:szCs w:val="22"/>
        </w:rPr>
      </w:pPr>
    </w:p>
    <w:p w14:paraId="2F57DFFE" w14:textId="77777777" w:rsidR="001C1A35" w:rsidRPr="001C1A35" w:rsidRDefault="001C1A35" w:rsidP="001C1A35">
      <w:pPr>
        <w:pStyle w:val="Default"/>
        <w:jc w:val="both"/>
        <w:rPr>
          <w:color w:val="auto"/>
          <w:sz w:val="22"/>
          <w:szCs w:val="22"/>
        </w:rPr>
      </w:pPr>
      <w:r w:rsidRPr="001C1A35">
        <w:rPr>
          <w:color w:val="auto"/>
          <w:sz w:val="22"/>
          <w:szCs w:val="22"/>
        </w:rPr>
        <w:t>Priority 4: Community Risk</w:t>
      </w:r>
    </w:p>
    <w:p w14:paraId="5938E8EA" w14:textId="77777777" w:rsidR="001C1A35" w:rsidRPr="001C1A35" w:rsidRDefault="001C1A35" w:rsidP="001C1A35">
      <w:pPr>
        <w:pStyle w:val="Default"/>
        <w:jc w:val="both"/>
        <w:rPr>
          <w:color w:val="auto"/>
          <w:sz w:val="22"/>
          <w:szCs w:val="22"/>
        </w:rPr>
      </w:pPr>
    </w:p>
    <w:p w14:paraId="774C4A72" w14:textId="77777777" w:rsidR="001C1A35" w:rsidRDefault="001C1A35" w:rsidP="001C1A35">
      <w:pPr>
        <w:jc w:val="both"/>
        <w:rPr>
          <w:rFonts w:ascii="Arial" w:hAnsi="Arial" w:cs="Arial"/>
          <w:sz w:val="22"/>
          <w:szCs w:val="22"/>
        </w:rPr>
      </w:pPr>
      <w:r w:rsidRPr="001C1A35">
        <w:rPr>
          <w:rFonts w:ascii="Arial" w:hAnsi="Arial" w:cs="Arial"/>
          <w:sz w:val="22"/>
          <w:szCs w:val="22"/>
        </w:rPr>
        <w:t>Priority 5: Local Risk Management and Preparedness</w:t>
      </w:r>
    </w:p>
    <w:p w14:paraId="16954906" w14:textId="77777777" w:rsidR="00534F29" w:rsidRPr="001C1A35" w:rsidRDefault="00534F29" w:rsidP="001C1A35">
      <w:pPr>
        <w:jc w:val="both"/>
        <w:rPr>
          <w:rFonts w:ascii="Arial" w:hAnsi="Arial" w:cs="Arial"/>
          <w:sz w:val="22"/>
          <w:szCs w:val="22"/>
        </w:rPr>
      </w:pPr>
    </w:p>
    <w:p w14:paraId="44D0F7C4" w14:textId="77777777" w:rsidR="001C1A35" w:rsidRDefault="001C1A35" w:rsidP="001C1A35">
      <w:pPr>
        <w:jc w:val="both"/>
        <w:rPr>
          <w:rFonts w:ascii="Arial" w:hAnsi="Arial" w:cs="Arial"/>
          <w:sz w:val="22"/>
          <w:szCs w:val="22"/>
        </w:rPr>
      </w:pPr>
      <w:r w:rsidRPr="001C1A35">
        <w:rPr>
          <w:rFonts w:ascii="Arial" w:hAnsi="Arial" w:cs="Arial"/>
          <w:sz w:val="22"/>
          <w:szCs w:val="22"/>
        </w:rPr>
        <w:t xml:space="preserve">Priority 6: Unintentional Harm and Injury </w:t>
      </w:r>
    </w:p>
    <w:p w14:paraId="781F1F2D" w14:textId="77777777" w:rsidR="00534F29" w:rsidRPr="001C1A35" w:rsidRDefault="00534F29" w:rsidP="001C1A35">
      <w:pPr>
        <w:jc w:val="both"/>
        <w:rPr>
          <w:rFonts w:ascii="Arial" w:hAnsi="Arial" w:cs="Arial"/>
          <w:sz w:val="22"/>
          <w:szCs w:val="22"/>
        </w:rPr>
      </w:pPr>
    </w:p>
    <w:p w14:paraId="6B049A29" w14:textId="367B34AC" w:rsidR="00987A20" w:rsidRPr="001C1A35" w:rsidRDefault="001C1A35" w:rsidP="001C1A35">
      <w:pPr>
        <w:jc w:val="both"/>
        <w:rPr>
          <w:rFonts w:ascii="Arial" w:hAnsi="Arial" w:cs="Arial"/>
          <w:sz w:val="22"/>
          <w:szCs w:val="22"/>
        </w:rPr>
      </w:pPr>
      <w:r w:rsidRPr="001C1A35">
        <w:rPr>
          <w:rFonts w:ascii="Arial" w:hAnsi="Arial" w:cs="Arial"/>
          <w:sz w:val="22"/>
          <w:szCs w:val="22"/>
        </w:rPr>
        <w:t>Priority</w:t>
      </w:r>
      <w:r>
        <w:rPr>
          <w:rFonts w:ascii="Arial" w:hAnsi="Arial" w:cs="Arial"/>
          <w:sz w:val="22"/>
          <w:szCs w:val="22"/>
        </w:rPr>
        <w:t xml:space="preserve"> 7: Unwanted Fire Alarm Signals</w:t>
      </w:r>
    </w:p>
    <w:p w14:paraId="2A9B09D6" w14:textId="77777777" w:rsidR="00987A20" w:rsidRDefault="00987A20" w:rsidP="00762C29">
      <w:pPr>
        <w:autoSpaceDE w:val="0"/>
        <w:autoSpaceDN w:val="0"/>
        <w:adjustRightInd w:val="0"/>
        <w:spacing w:line="360" w:lineRule="auto"/>
        <w:rPr>
          <w:rFonts w:ascii="Arial" w:hAnsi="Arial" w:cs="Arial"/>
          <w:b/>
          <w:iCs/>
          <w:color w:val="A6192E"/>
          <w:sz w:val="28"/>
          <w:szCs w:val="28"/>
        </w:rPr>
      </w:pPr>
    </w:p>
    <w:p w14:paraId="404F849C" w14:textId="77777777" w:rsidR="00E8158A" w:rsidRPr="00E24551" w:rsidRDefault="00E8158A" w:rsidP="002E1E5F">
      <w:pPr>
        <w:autoSpaceDE w:val="0"/>
        <w:autoSpaceDN w:val="0"/>
        <w:adjustRightInd w:val="0"/>
        <w:spacing w:line="360" w:lineRule="auto"/>
        <w:rPr>
          <w:rFonts w:ascii="Arial" w:hAnsi="Arial" w:cs="Arial"/>
          <w:iCs/>
          <w:sz w:val="22"/>
          <w:szCs w:val="22"/>
        </w:rPr>
      </w:pPr>
    </w:p>
    <w:sectPr w:rsidR="00E8158A" w:rsidRPr="00E24551" w:rsidSect="00A10139">
      <w:footerReference w:type="even" r:id="rId33"/>
      <w:footerReference w:type="default" r:id="rId34"/>
      <w:pgSz w:w="11906" w:h="16838" w:code="9"/>
      <w:pgMar w:top="1418" w:right="1134" w:bottom="1134" w:left="1134" w:header="0" w:footer="73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C182B" w14:textId="77777777" w:rsidR="00AA596A" w:rsidRDefault="00AA596A" w:rsidP="00175AB6">
      <w:r>
        <w:separator/>
      </w:r>
    </w:p>
  </w:endnote>
  <w:endnote w:type="continuationSeparator" w:id="0">
    <w:p w14:paraId="1C30A0E9" w14:textId="77777777" w:rsidR="00AA596A" w:rsidRDefault="00AA596A" w:rsidP="0017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bson Light">
    <w:altName w:val="Gibson Light"/>
    <w:charset w:val="00"/>
    <w:family w:val="auto"/>
    <w:pitch w:val="default"/>
    <w:sig w:usb0="00000003" w:usb1="00000000" w:usb2="00000000" w:usb3="00000000" w:csb0="00000001" w:csb1="00000000"/>
  </w:font>
  <w:font w:name="Gibson">
    <w:altName w:val="Gibso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D518" w14:textId="1388B8DC" w:rsidR="00AA596A" w:rsidRPr="00C029EC" w:rsidRDefault="00AA596A" w:rsidP="00853A27">
    <w:pPr>
      <w:pStyle w:val="Footer"/>
      <w:pBdr>
        <w:top w:val="single" w:sz="4" w:space="1" w:color="C00000"/>
      </w:pBdr>
      <w:jc w:val="right"/>
      <w:rPr>
        <w:rFonts w:asciiTheme="minorHAnsi" w:hAnsiTheme="minorHAnsi" w:cstheme="minorHAnsi"/>
        <w:color w:val="C00000"/>
        <w:sz w:val="20"/>
      </w:rPr>
    </w:pPr>
    <w:r w:rsidRPr="00C029EC">
      <w:rPr>
        <w:rFonts w:asciiTheme="minorHAnsi" w:hAnsiTheme="minorHAnsi" w:cstheme="minorHAnsi"/>
        <w:color w:val="C00000"/>
        <w:sz w:val="20"/>
      </w:rPr>
      <w:t xml:space="preserve"> </w:t>
    </w:r>
    <w:r w:rsidRPr="003E012D">
      <w:rPr>
        <w:rFonts w:ascii="Arial" w:hAnsi="Arial" w:cs="Arial"/>
        <w:color w:val="C00000"/>
        <w:sz w:val="18"/>
        <w:szCs w:val="18"/>
      </w:rPr>
      <w:t>Local Fire and Rescue Plan</w:t>
    </w:r>
    <w:r w:rsidR="00AE186D">
      <w:rPr>
        <w:rFonts w:ascii="Arial" w:hAnsi="Arial" w:cs="Arial"/>
        <w:color w:val="C00000"/>
        <w:sz w:val="18"/>
        <w:szCs w:val="18"/>
      </w:rPr>
      <w:t xml:space="preserve"> </w:t>
    </w:r>
    <w:r w:rsidR="001C7E09">
      <w:rPr>
        <w:rFonts w:ascii="Arial" w:hAnsi="Arial" w:cs="Arial"/>
        <w:color w:val="C00000"/>
        <w:sz w:val="18"/>
        <w:szCs w:val="18"/>
      </w:rPr>
      <w:t xml:space="preserve">2014-17 </w:t>
    </w:r>
    <w:r w:rsidR="00AE186D">
      <w:rPr>
        <w:rFonts w:ascii="Arial" w:hAnsi="Arial" w:cs="Arial"/>
        <w:color w:val="C00000"/>
        <w:sz w:val="18"/>
        <w:szCs w:val="18"/>
      </w:rPr>
      <w:t xml:space="preserve">Review </w:t>
    </w:r>
    <w:r>
      <w:rPr>
        <w:rFonts w:ascii="Arial" w:hAnsi="Arial" w:cs="Arial"/>
        <w:color w:val="C00000"/>
        <w:sz w:val="18"/>
        <w:szCs w:val="18"/>
      </w:rPr>
      <w:t xml:space="preserve">| </w:t>
    </w:r>
    <w:r w:rsidR="00AE186D">
      <w:rPr>
        <w:rFonts w:ascii="Arial" w:hAnsi="Arial" w:cs="Arial"/>
        <w:color w:val="C00000"/>
        <w:sz w:val="18"/>
        <w:szCs w:val="18"/>
      </w:rPr>
      <w:t>Stirling</w:t>
    </w:r>
    <w:r w:rsidRPr="003E012D">
      <w:rPr>
        <w:rFonts w:ascii="Arial" w:hAnsi="Arial" w:cs="Arial"/>
        <w:color w:val="C00000"/>
        <w:sz w:val="18"/>
        <w:szCs w:val="18"/>
      </w:rPr>
      <w:t xml:space="preserve"> </w:t>
    </w:r>
    <w:r w:rsidRPr="00C029EC">
      <w:rPr>
        <w:rFonts w:asciiTheme="minorHAnsi" w:hAnsiTheme="minorHAnsi" w:cstheme="minorHAnsi"/>
        <w:color w:val="C00000"/>
        <w:sz w:val="20"/>
      </w:rPr>
      <w:t xml:space="preserve">    </w:t>
    </w:r>
    <w:sdt>
      <w:sdtPr>
        <w:rPr>
          <w:rFonts w:asciiTheme="minorHAnsi" w:hAnsiTheme="minorHAnsi" w:cstheme="minorHAnsi"/>
          <w:b/>
          <w:color w:val="C00000"/>
          <w:sz w:val="20"/>
        </w:rPr>
        <w:id w:val="-1444228477"/>
        <w:docPartObj>
          <w:docPartGallery w:val="Page Numbers (Bottom of Page)"/>
          <w:docPartUnique/>
        </w:docPartObj>
      </w:sdtPr>
      <w:sdtEndPr>
        <w:rPr>
          <w:noProof/>
        </w:rPr>
      </w:sdtEndPr>
      <w:sdtContent>
        <w:r w:rsidRPr="00C029EC">
          <w:rPr>
            <w:rFonts w:asciiTheme="minorHAnsi" w:hAnsiTheme="minorHAnsi" w:cstheme="minorHAnsi"/>
            <w:b/>
            <w:color w:val="C00000"/>
            <w:sz w:val="20"/>
          </w:rPr>
          <w:fldChar w:fldCharType="begin"/>
        </w:r>
        <w:r w:rsidRPr="00C029EC">
          <w:rPr>
            <w:rFonts w:asciiTheme="minorHAnsi" w:hAnsiTheme="minorHAnsi" w:cstheme="minorHAnsi"/>
            <w:b/>
            <w:color w:val="C00000"/>
            <w:sz w:val="20"/>
          </w:rPr>
          <w:instrText xml:space="preserve"> PAGE   \* MERGEFORMAT </w:instrText>
        </w:r>
        <w:r w:rsidRPr="00C029EC">
          <w:rPr>
            <w:rFonts w:asciiTheme="minorHAnsi" w:hAnsiTheme="minorHAnsi" w:cstheme="minorHAnsi"/>
            <w:b/>
            <w:color w:val="C00000"/>
            <w:sz w:val="20"/>
          </w:rPr>
          <w:fldChar w:fldCharType="separate"/>
        </w:r>
        <w:r w:rsidR="00727641">
          <w:rPr>
            <w:rFonts w:asciiTheme="minorHAnsi" w:hAnsiTheme="minorHAnsi" w:cstheme="minorHAnsi"/>
            <w:b/>
            <w:noProof/>
            <w:color w:val="C00000"/>
            <w:sz w:val="20"/>
          </w:rPr>
          <w:t>2</w:t>
        </w:r>
        <w:r w:rsidRPr="00C029EC">
          <w:rPr>
            <w:rFonts w:asciiTheme="minorHAnsi" w:hAnsiTheme="minorHAnsi" w:cstheme="minorHAnsi"/>
            <w:b/>
            <w:noProof/>
            <w:color w:val="C00000"/>
            <w:sz w:val="20"/>
          </w:rPr>
          <w:fldChar w:fldCharType="end"/>
        </w:r>
      </w:sdtContent>
    </w:sdt>
  </w:p>
  <w:p w14:paraId="62902E44" w14:textId="71B06FD7" w:rsidR="00AA596A" w:rsidRPr="000B1FE4" w:rsidRDefault="00AE186D" w:rsidP="00AE186D">
    <w:pPr>
      <w:pStyle w:val="Footer"/>
      <w:tabs>
        <w:tab w:val="left" w:pos="8145"/>
      </w:tabs>
      <w:rPr>
        <w:rFonts w:asciiTheme="minorHAnsi" w:hAnsiTheme="minorHAnsi" w:cstheme="minorHAnsi"/>
        <w:color w:val="C00000"/>
        <w:sz w:val="18"/>
      </w:rPr>
    </w:pPr>
    <w:r>
      <w:rPr>
        <w:rFonts w:asciiTheme="minorHAnsi" w:hAnsiTheme="minorHAnsi" w:cstheme="minorHAnsi"/>
        <w:color w:val="C00000"/>
        <w:sz w:val="18"/>
      </w:rPr>
      <w:tab/>
    </w:r>
    <w:r>
      <w:rPr>
        <w:rFonts w:asciiTheme="minorHAnsi" w:hAnsiTheme="minorHAnsi" w:cstheme="minorHAnsi"/>
        <w:color w:val="C00000"/>
        <w:sz w:val="18"/>
      </w:rPr>
      <w:tab/>
    </w:r>
    <w:r>
      <w:rPr>
        <w:rFonts w:asciiTheme="minorHAnsi" w:hAnsiTheme="minorHAnsi" w:cstheme="minorHAnsi"/>
        <w:color w:val="C00000"/>
        <w:sz w:val="18"/>
      </w:rPr>
      <w:tab/>
    </w:r>
  </w:p>
  <w:p w14:paraId="27D4BC61" w14:textId="4521FEA8" w:rsidR="00AA596A" w:rsidRDefault="00AA596A" w:rsidP="00A65FFD">
    <w:pPr>
      <w:tabs>
        <w:tab w:val="left" w:pos="6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C00000"/>
        <w:sz w:val="20"/>
      </w:rPr>
      <w:id w:val="-1974434014"/>
      <w:docPartObj>
        <w:docPartGallery w:val="Page Numbers (Bottom of Page)"/>
        <w:docPartUnique/>
      </w:docPartObj>
    </w:sdtPr>
    <w:sdtEndPr>
      <w:rPr>
        <w:rFonts w:ascii="Arial" w:hAnsi="Arial" w:cs="Arial"/>
        <w:noProof/>
        <w:sz w:val="18"/>
        <w:szCs w:val="18"/>
      </w:rPr>
    </w:sdtEndPr>
    <w:sdtContent>
      <w:p w14:paraId="280BF15E" w14:textId="54638031" w:rsidR="00AA596A" w:rsidRPr="003E012D" w:rsidRDefault="00AA596A" w:rsidP="00853A27">
        <w:pPr>
          <w:pStyle w:val="Footer"/>
          <w:pBdr>
            <w:top w:val="single" w:sz="4" w:space="1" w:color="C00000"/>
          </w:pBdr>
          <w:rPr>
            <w:rFonts w:ascii="Arial" w:hAnsi="Arial" w:cs="Arial"/>
            <w:color w:val="C00000"/>
            <w:sz w:val="18"/>
            <w:szCs w:val="18"/>
          </w:rPr>
        </w:pPr>
        <w:r w:rsidRPr="003E012D">
          <w:rPr>
            <w:rFonts w:ascii="Arial" w:hAnsi="Arial" w:cs="Arial"/>
            <w:b/>
            <w:color w:val="C00000"/>
            <w:sz w:val="18"/>
            <w:szCs w:val="18"/>
          </w:rPr>
          <w:fldChar w:fldCharType="begin"/>
        </w:r>
        <w:r w:rsidRPr="003E012D">
          <w:rPr>
            <w:rFonts w:ascii="Arial" w:hAnsi="Arial" w:cs="Arial"/>
            <w:b/>
            <w:color w:val="C00000"/>
            <w:sz w:val="18"/>
            <w:szCs w:val="18"/>
          </w:rPr>
          <w:instrText xml:space="preserve"> PAGE   \* MERGEFORMAT </w:instrText>
        </w:r>
        <w:r w:rsidRPr="003E012D">
          <w:rPr>
            <w:rFonts w:ascii="Arial" w:hAnsi="Arial" w:cs="Arial"/>
            <w:b/>
            <w:color w:val="C00000"/>
            <w:sz w:val="18"/>
            <w:szCs w:val="18"/>
          </w:rPr>
          <w:fldChar w:fldCharType="separate"/>
        </w:r>
        <w:r w:rsidR="00727641">
          <w:rPr>
            <w:rFonts w:ascii="Arial" w:hAnsi="Arial" w:cs="Arial"/>
            <w:b/>
            <w:noProof/>
            <w:color w:val="C00000"/>
            <w:sz w:val="18"/>
            <w:szCs w:val="18"/>
          </w:rPr>
          <w:t>1</w:t>
        </w:r>
        <w:r w:rsidRPr="003E012D">
          <w:rPr>
            <w:rFonts w:ascii="Arial" w:hAnsi="Arial" w:cs="Arial"/>
            <w:b/>
            <w:noProof/>
            <w:color w:val="C00000"/>
            <w:sz w:val="18"/>
            <w:szCs w:val="18"/>
          </w:rPr>
          <w:fldChar w:fldCharType="end"/>
        </w:r>
        <w:r w:rsidRPr="003E012D">
          <w:rPr>
            <w:rFonts w:ascii="Arial" w:hAnsi="Arial" w:cs="Arial"/>
            <w:noProof/>
            <w:color w:val="C00000"/>
            <w:sz w:val="18"/>
            <w:szCs w:val="18"/>
          </w:rPr>
          <w:t xml:space="preserve">   Scottish Fire and Rescue Service</w:t>
        </w:r>
      </w:p>
    </w:sdtContent>
  </w:sdt>
  <w:p w14:paraId="10D17371" w14:textId="16049E32" w:rsidR="00AA596A" w:rsidRPr="000B1FE4" w:rsidRDefault="00AA596A" w:rsidP="003C4BD5">
    <w:pPr>
      <w:pStyle w:val="Footer"/>
      <w:tabs>
        <w:tab w:val="clear" w:pos="4513"/>
        <w:tab w:val="clear" w:pos="9026"/>
        <w:tab w:val="left" w:pos="1605"/>
        <w:tab w:val="left" w:pos="2431"/>
      </w:tabs>
      <w:rPr>
        <w:rFonts w:asciiTheme="minorHAnsi" w:hAnsiTheme="minorHAnsi" w:cstheme="minorHAnsi"/>
        <w:color w:val="C00000"/>
        <w:sz w:val="18"/>
      </w:rPr>
    </w:pPr>
    <w:r>
      <w:rPr>
        <w:rFonts w:asciiTheme="minorHAnsi" w:hAnsiTheme="minorHAnsi" w:cstheme="minorHAnsi"/>
        <w:color w:val="C00000"/>
        <w:sz w:val="18"/>
      </w:rPr>
      <w:tab/>
    </w:r>
    <w:r>
      <w:rPr>
        <w:rFonts w:asciiTheme="minorHAnsi" w:hAnsiTheme="minorHAnsi" w:cstheme="minorHAnsi"/>
        <w:color w:val="C00000"/>
        <w:sz w:val="18"/>
      </w:rPr>
      <w:tab/>
    </w:r>
  </w:p>
  <w:p w14:paraId="28BE484E" w14:textId="77777777" w:rsidR="00AA596A" w:rsidRDefault="00AA5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CBC2C" w14:textId="77777777" w:rsidR="00AA596A" w:rsidRDefault="00AA596A" w:rsidP="00175AB6">
      <w:r>
        <w:separator/>
      </w:r>
    </w:p>
  </w:footnote>
  <w:footnote w:type="continuationSeparator" w:id="0">
    <w:p w14:paraId="793263ED" w14:textId="77777777" w:rsidR="00AA596A" w:rsidRDefault="00AA596A" w:rsidP="00175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0285"/>
    <w:multiLevelType w:val="hybridMultilevel"/>
    <w:tmpl w:val="32A8C8A0"/>
    <w:lvl w:ilvl="0" w:tplc="1600660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8707CA"/>
    <w:multiLevelType w:val="hybridMultilevel"/>
    <w:tmpl w:val="167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6A0"/>
    <w:multiLevelType w:val="hybridMultilevel"/>
    <w:tmpl w:val="C3947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385AEC"/>
    <w:multiLevelType w:val="hybridMultilevel"/>
    <w:tmpl w:val="AD529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00021D"/>
    <w:multiLevelType w:val="hybridMultilevel"/>
    <w:tmpl w:val="9AD68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E40A7E"/>
    <w:multiLevelType w:val="hybridMultilevel"/>
    <w:tmpl w:val="4246F286"/>
    <w:lvl w:ilvl="0" w:tplc="9D545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94E80"/>
    <w:multiLevelType w:val="hybridMultilevel"/>
    <w:tmpl w:val="8F845FB4"/>
    <w:lvl w:ilvl="0" w:tplc="0809000F">
      <w:start w:val="2"/>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5DE4374"/>
    <w:multiLevelType w:val="hybridMultilevel"/>
    <w:tmpl w:val="D7A8C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D32D5D"/>
    <w:multiLevelType w:val="hybridMultilevel"/>
    <w:tmpl w:val="F320D79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66474F"/>
    <w:multiLevelType w:val="hybridMultilevel"/>
    <w:tmpl w:val="BC4A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C2121E"/>
    <w:multiLevelType w:val="hybridMultilevel"/>
    <w:tmpl w:val="8A7057D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5D61AF"/>
    <w:multiLevelType w:val="hybridMultilevel"/>
    <w:tmpl w:val="7336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3143E2"/>
    <w:multiLevelType w:val="hybridMultilevel"/>
    <w:tmpl w:val="F3384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E316EB"/>
    <w:multiLevelType w:val="hybridMultilevel"/>
    <w:tmpl w:val="F036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C2367"/>
    <w:multiLevelType w:val="hybridMultilevel"/>
    <w:tmpl w:val="3BB2AD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51581"/>
    <w:multiLevelType w:val="hybridMultilevel"/>
    <w:tmpl w:val="88768748"/>
    <w:lvl w:ilvl="0" w:tplc="9D545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F6032"/>
    <w:multiLevelType w:val="hybridMultilevel"/>
    <w:tmpl w:val="605E8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1803ED"/>
    <w:multiLevelType w:val="hybridMultilevel"/>
    <w:tmpl w:val="9036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131661"/>
    <w:multiLevelType w:val="hybridMultilevel"/>
    <w:tmpl w:val="86329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832DB9"/>
    <w:multiLevelType w:val="multilevel"/>
    <w:tmpl w:val="8054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86CFC"/>
    <w:multiLevelType w:val="hybridMultilevel"/>
    <w:tmpl w:val="7D468A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7"/>
  </w:num>
  <w:num w:numId="2">
    <w:abstractNumId w:val="19"/>
  </w:num>
  <w:num w:numId="3">
    <w:abstractNumId w:val="8"/>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1"/>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6"/>
  </w:num>
  <w:num w:numId="13">
    <w:abstractNumId w:val="2"/>
  </w:num>
  <w:num w:numId="14">
    <w:abstractNumId w:val="13"/>
  </w:num>
  <w:num w:numId="15">
    <w:abstractNumId w:val="15"/>
  </w:num>
  <w:num w:numId="16">
    <w:abstractNumId w:val="5"/>
  </w:num>
  <w:num w:numId="17">
    <w:abstractNumId w:val="20"/>
  </w:num>
  <w:num w:numId="18">
    <w:abstractNumId w:val="18"/>
  </w:num>
  <w:num w:numId="19">
    <w:abstractNumId w:val="9"/>
  </w:num>
  <w:num w:numId="20">
    <w:abstractNumId w:val="12"/>
  </w:num>
  <w:num w:numId="21">
    <w:abstractNumId w:val="6"/>
  </w:num>
  <w:num w:numId="22">
    <w:abstractNumId w:val="0"/>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94"/>
    <w:rsid w:val="00003216"/>
    <w:rsid w:val="0000659C"/>
    <w:rsid w:val="00010CEE"/>
    <w:rsid w:val="000118C5"/>
    <w:rsid w:val="000205AA"/>
    <w:rsid w:val="00026994"/>
    <w:rsid w:val="00031EAB"/>
    <w:rsid w:val="00042348"/>
    <w:rsid w:val="0004543C"/>
    <w:rsid w:val="00050B53"/>
    <w:rsid w:val="00052385"/>
    <w:rsid w:val="0005343A"/>
    <w:rsid w:val="0005696D"/>
    <w:rsid w:val="00063A39"/>
    <w:rsid w:val="00070DE3"/>
    <w:rsid w:val="00072446"/>
    <w:rsid w:val="00087AC5"/>
    <w:rsid w:val="000946A7"/>
    <w:rsid w:val="000A1A8B"/>
    <w:rsid w:val="000A1B27"/>
    <w:rsid w:val="000A27FC"/>
    <w:rsid w:val="000A32E7"/>
    <w:rsid w:val="000A49A1"/>
    <w:rsid w:val="000B1FE4"/>
    <w:rsid w:val="000B2C1E"/>
    <w:rsid w:val="000B57C4"/>
    <w:rsid w:val="000C0649"/>
    <w:rsid w:val="000C2CC0"/>
    <w:rsid w:val="000C597B"/>
    <w:rsid w:val="000C5C44"/>
    <w:rsid w:val="000D0587"/>
    <w:rsid w:val="000E3AFE"/>
    <w:rsid w:val="000F0751"/>
    <w:rsid w:val="000F40DD"/>
    <w:rsid w:val="001040EE"/>
    <w:rsid w:val="00116081"/>
    <w:rsid w:val="00126257"/>
    <w:rsid w:val="001431B3"/>
    <w:rsid w:val="0014708D"/>
    <w:rsid w:val="00151814"/>
    <w:rsid w:val="001538F5"/>
    <w:rsid w:val="00155062"/>
    <w:rsid w:val="00175AB6"/>
    <w:rsid w:val="00175EFC"/>
    <w:rsid w:val="001817E9"/>
    <w:rsid w:val="001A486F"/>
    <w:rsid w:val="001A5494"/>
    <w:rsid w:val="001B0030"/>
    <w:rsid w:val="001B2C6F"/>
    <w:rsid w:val="001B5D5E"/>
    <w:rsid w:val="001C1A35"/>
    <w:rsid w:val="001C7E09"/>
    <w:rsid w:val="001D307A"/>
    <w:rsid w:val="001D38AD"/>
    <w:rsid w:val="001E051A"/>
    <w:rsid w:val="001E2043"/>
    <w:rsid w:val="001E732F"/>
    <w:rsid w:val="001F325B"/>
    <w:rsid w:val="001F4153"/>
    <w:rsid w:val="00201204"/>
    <w:rsid w:val="00205BA1"/>
    <w:rsid w:val="0021395A"/>
    <w:rsid w:val="00214F32"/>
    <w:rsid w:val="0022451A"/>
    <w:rsid w:val="00231C51"/>
    <w:rsid w:val="002321D9"/>
    <w:rsid w:val="0023465A"/>
    <w:rsid w:val="0024127C"/>
    <w:rsid w:val="00262E7D"/>
    <w:rsid w:val="0026703C"/>
    <w:rsid w:val="00283D4C"/>
    <w:rsid w:val="002844D6"/>
    <w:rsid w:val="00286A2B"/>
    <w:rsid w:val="002957BA"/>
    <w:rsid w:val="002A70B8"/>
    <w:rsid w:val="002B5621"/>
    <w:rsid w:val="002B78CF"/>
    <w:rsid w:val="002C2E52"/>
    <w:rsid w:val="002C4D02"/>
    <w:rsid w:val="002C50F3"/>
    <w:rsid w:val="002C5F40"/>
    <w:rsid w:val="002D0049"/>
    <w:rsid w:val="002E1E5F"/>
    <w:rsid w:val="002F0851"/>
    <w:rsid w:val="002F505B"/>
    <w:rsid w:val="002F6F1A"/>
    <w:rsid w:val="003154E4"/>
    <w:rsid w:val="00317AA4"/>
    <w:rsid w:val="00323992"/>
    <w:rsid w:val="00335E4D"/>
    <w:rsid w:val="00341A66"/>
    <w:rsid w:val="00342C46"/>
    <w:rsid w:val="00347DC9"/>
    <w:rsid w:val="00354A2B"/>
    <w:rsid w:val="0035594E"/>
    <w:rsid w:val="0037170D"/>
    <w:rsid w:val="00375740"/>
    <w:rsid w:val="00385CF9"/>
    <w:rsid w:val="00386921"/>
    <w:rsid w:val="0039095B"/>
    <w:rsid w:val="00393562"/>
    <w:rsid w:val="003A6C02"/>
    <w:rsid w:val="003C4BD5"/>
    <w:rsid w:val="003C6A5F"/>
    <w:rsid w:val="003D1170"/>
    <w:rsid w:val="003D195E"/>
    <w:rsid w:val="003D24EA"/>
    <w:rsid w:val="003E012D"/>
    <w:rsid w:val="003E5578"/>
    <w:rsid w:val="00417AB0"/>
    <w:rsid w:val="004219CF"/>
    <w:rsid w:val="004263B8"/>
    <w:rsid w:val="00426EB2"/>
    <w:rsid w:val="00437275"/>
    <w:rsid w:val="00441A27"/>
    <w:rsid w:val="00457199"/>
    <w:rsid w:val="00464D78"/>
    <w:rsid w:val="00474137"/>
    <w:rsid w:val="004802AB"/>
    <w:rsid w:val="00481E36"/>
    <w:rsid w:val="004A1209"/>
    <w:rsid w:val="004A3EF7"/>
    <w:rsid w:val="004A4DDF"/>
    <w:rsid w:val="004C0547"/>
    <w:rsid w:val="004C399D"/>
    <w:rsid w:val="004C5106"/>
    <w:rsid w:val="004D535A"/>
    <w:rsid w:val="004E3F36"/>
    <w:rsid w:val="004E5B78"/>
    <w:rsid w:val="004F23F7"/>
    <w:rsid w:val="004F3263"/>
    <w:rsid w:val="004F4B47"/>
    <w:rsid w:val="004F7B5D"/>
    <w:rsid w:val="00501D0C"/>
    <w:rsid w:val="00504859"/>
    <w:rsid w:val="00505B73"/>
    <w:rsid w:val="00506A8D"/>
    <w:rsid w:val="005127CB"/>
    <w:rsid w:val="00512CB0"/>
    <w:rsid w:val="0051585A"/>
    <w:rsid w:val="0052029A"/>
    <w:rsid w:val="0053412F"/>
    <w:rsid w:val="00534F29"/>
    <w:rsid w:val="005608DB"/>
    <w:rsid w:val="00563578"/>
    <w:rsid w:val="00564416"/>
    <w:rsid w:val="00566D28"/>
    <w:rsid w:val="0057503C"/>
    <w:rsid w:val="00577672"/>
    <w:rsid w:val="00582EC1"/>
    <w:rsid w:val="00583568"/>
    <w:rsid w:val="00586909"/>
    <w:rsid w:val="00596E85"/>
    <w:rsid w:val="00597C95"/>
    <w:rsid w:val="005A6AC2"/>
    <w:rsid w:val="005B0DB5"/>
    <w:rsid w:val="005B2AB3"/>
    <w:rsid w:val="005C44FB"/>
    <w:rsid w:val="005C7A01"/>
    <w:rsid w:val="005D4B2C"/>
    <w:rsid w:val="005D5AA1"/>
    <w:rsid w:val="005F3E0D"/>
    <w:rsid w:val="005F4BB1"/>
    <w:rsid w:val="005F63E9"/>
    <w:rsid w:val="006042D7"/>
    <w:rsid w:val="00607330"/>
    <w:rsid w:val="0060762F"/>
    <w:rsid w:val="006213B9"/>
    <w:rsid w:val="006451CA"/>
    <w:rsid w:val="006615B2"/>
    <w:rsid w:val="0066170B"/>
    <w:rsid w:val="00664B3A"/>
    <w:rsid w:val="006717F7"/>
    <w:rsid w:val="00671FCA"/>
    <w:rsid w:val="00672407"/>
    <w:rsid w:val="00680398"/>
    <w:rsid w:val="006846BD"/>
    <w:rsid w:val="00690DE8"/>
    <w:rsid w:val="006A4F67"/>
    <w:rsid w:val="006C05A8"/>
    <w:rsid w:val="006C7301"/>
    <w:rsid w:val="006D6EB3"/>
    <w:rsid w:val="006E1133"/>
    <w:rsid w:val="006E23C8"/>
    <w:rsid w:val="006E2F31"/>
    <w:rsid w:val="006E4A10"/>
    <w:rsid w:val="006E55B3"/>
    <w:rsid w:val="00710A9E"/>
    <w:rsid w:val="00717120"/>
    <w:rsid w:val="00722F1F"/>
    <w:rsid w:val="007248B9"/>
    <w:rsid w:val="00727641"/>
    <w:rsid w:val="00741746"/>
    <w:rsid w:val="00742922"/>
    <w:rsid w:val="00744EE3"/>
    <w:rsid w:val="0074595D"/>
    <w:rsid w:val="00745B50"/>
    <w:rsid w:val="00751E08"/>
    <w:rsid w:val="00752ACE"/>
    <w:rsid w:val="00757EB1"/>
    <w:rsid w:val="00762C29"/>
    <w:rsid w:val="007718CD"/>
    <w:rsid w:val="007737D8"/>
    <w:rsid w:val="0077642E"/>
    <w:rsid w:val="0078386A"/>
    <w:rsid w:val="007919C5"/>
    <w:rsid w:val="00792516"/>
    <w:rsid w:val="007A3AEE"/>
    <w:rsid w:val="007C0C35"/>
    <w:rsid w:val="007C413A"/>
    <w:rsid w:val="007C60DC"/>
    <w:rsid w:val="007D08B0"/>
    <w:rsid w:val="007D2761"/>
    <w:rsid w:val="007D3343"/>
    <w:rsid w:val="007E64E7"/>
    <w:rsid w:val="007E79B8"/>
    <w:rsid w:val="00804614"/>
    <w:rsid w:val="00805E89"/>
    <w:rsid w:val="008103F8"/>
    <w:rsid w:val="00816792"/>
    <w:rsid w:val="00823A7C"/>
    <w:rsid w:val="0083105C"/>
    <w:rsid w:val="008314E2"/>
    <w:rsid w:val="00832492"/>
    <w:rsid w:val="00834BFB"/>
    <w:rsid w:val="00837E8F"/>
    <w:rsid w:val="00840BD1"/>
    <w:rsid w:val="008416A4"/>
    <w:rsid w:val="00853A27"/>
    <w:rsid w:val="00863222"/>
    <w:rsid w:val="00872541"/>
    <w:rsid w:val="00876386"/>
    <w:rsid w:val="00876975"/>
    <w:rsid w:val="008854F7"/>
    <w:rsid w:val="00885E19"/>
    <w:rsid w:val="00890C72"/>
    <w:rsid w:val="008934E7"/>
    <w:rsid w:val="008A7A04"/>
    <w:rsid w:val="008B06D6"/>
    <w:rsid w:val="008B1883"/>
    <w:rsid w:val="008C25E1"/>
    <w:rsid w:val="008D0CDA"/>
    <w:rsid w:val="008D6F69"/>
    <w:rsid w:val="008E5B93"/>
    <w:rsid w:val="008F09B3"/>
    <w:rsid w:val="008F23CA"/>
    <w:rsid w:val="008F2BFA"/>
    <w:rsid w:val="00900189"/>
    <w:rsid w:val="009016EF"/>
    <w:rsid w:val="00903046"/>
    <w:rsid w:val="009113CC"/>
    <w:rsid w:val="00913991"/>
    <w:rsid w:val="009150E3"/>
    <w:rsid w:val="009174ED"/>
    <w:rsid w:val="00922CA2"/>
    <w:rsid w:val="00923A66"/>
    <w:rsid w:val="009271A5"/>
    <w:rsid w:val="0093073D"/>
    <w:rsid w:val="00933D77"/>
    <w:rsid w:val="00941C1F"/>
    <w:rsid w:val="0094452B"/>
    <w:rsid w:val="0095017D"/>
    <w:rsid w:val="009528A0"/>
    <w:rsid w:val="00956598"/>
    <w:rsid w:val="00964C63"/>
    <w:rsid w:val="00967E65"/>
    <w:rsid w:val="0097016D"/>
    <w:rsid w:val="00972033"/>
    <w:rsid w:val="00972E84"/>
    <w:rsid w:val="009762DB"/>
    <w:rsid w:val="00983E42"/>
    <w:rsid w:val="009842AA"/>
    <w:rsid w:val="009855C8"/>
    <w:rsid w:val="00987A20"/>
    <w:rsid w:val="0099285F"/>
    <w:rsid w:val="00993CB5"/>
    <w:rsid w:val="009A3F5F"/>
    <w:rsid w:val="009A472D"/>
    <w:rsid w:val="009A7A58"/>
    <w:rsid w:val="009B0C54"/>
    <w:rsid w:val="009C7E04"/>
    <w:rsid w:val="009C7E4A"/>
    <w:rsid w:val="009D6CE4"/>
    <w:rsid w:val="009E1034"/>
    <w:rsid w:val="009E1990"/>
    <w:rsid w:val="009E6C3E"/>
    <w:rsid w:val="009F7E77"/>
    <w:rsid w:val="00A07F0A"/>
    <w:rsid w:val="00A10139"/>
    <w:rsid w:val="00A21FFA"/>
    <w:rsid w:val="00A37E85"/>
    <w:rsid w:val="00A40993"/>
    <w:rsid w:val="00A64223"/>
    <w:rsid w:val="00A65482"/>
    <w:rsid w:val="00A65FFD"/>
    <w:rsid w:val="00A71929"/>
    <w:rsid w:val="00A77D70"/>
    <w:rsid w:val="00A9037B"/>
    <w:rsid w:val="00A92ADC"/>
    <w:rsid w:val="00A9455E"/>
    <w:rsid w:val="00A94FC2"/>
    <w:rsid w:val="00A96820"/>
    <w:rsid w:val="00AA1691"/>
    <w:rsid w:val="00AA345A"/>
    <w:rsid w:val="00AA384E"/>
    <w:rsid w:val="00AA4E5C"/>
    <w:rsid w:val="00AA596A"/>
    <w:rsid w:val="00AB1585"/>
    <w:rsid w:val="00AC3627"/>
    <w:rsid w:val="00AC5D3B"/>
    <w:rsid w:val="00AD4173"/>
    <w:rsid w:val="00AD7CDB"/>
    <w:rsid w:val="00AE186D"/>
    <w:rsid w:val="00AE1F09"/>
    <w:rsid w:val="00AE7ACB"/>
    <w:rsid w:val="00AF1ED0"/>
    <w:rsid w:val="00AF5CC7"/>
    <w:rsid w:val="00B201D1"/>
    <w:rsid w:val="00B23542"/>
    <w:rsid w:val="00B27485"/>
    <w:rsid w:val="00B31F46"/>
    <w:rsid w:val="00B34B09"/>
    <w:rsid w:val="00B505C2"/>
    <w:rsid w:val="00B53F21"/>
    <w:rsid w:val="00B556BA"/>
    <w:rsid w:val="00B6394B"/>
    <w:rsid w:val="00B72D6E"/>
    <w:rsid w:val="00B742D0"/>
    <w:rsid w:val="00B851D5"/>
    <w:rsid w:val="00B868E5"/>
    <w:rsid w:val="00B94016"/>
    <w:rsid w:val="00B9762A"/>
    <w:rsid w:val="00BD556F"/>
    <w:rsid w:val="00BE2B7D"/>
    <w:rsid w:val="00C029EC"/>
    <w:rsid w:val="00C229C6"/>
    <w:rsid w:val="00C30EE9"/>
    <w:rsid w:val="00C30FD0"/>
    <w:rsid w:val="00C75EDA"/>
    <w:rsid w:val="00C87DBC"/>
    <w:rsid w:val="00C90C17"/>
    <w:rsid w:val="00C931FA"/>
    <w:rsid w:val="00CA2AAD"/>
    <w:rsid w:val="00CA3E03"/>
    <w:rsid w:val="00CA401F"/>
    <w:rsid w:val="00CA771E"/>
    <w:rsid w:val="00CC5A9C"/>
    <w:rsid w:val="00CD032A"/>
    <w:rsid w:val="00CE35CF"/>
    <w:rsid w:val="00CE54FA"/>
    <w:rsid w:val="00CF2FB1"/>
    <w:rsid w:val="00CF544E"/>
    <w:rsid w:val="00CF5E04"/>
    <w:rsid w:val="00D049F6"/>
    <w:rsid w:val="00D1028D"/>
    <w:rsid w:val="00D107C2"/>
    <w:rsid w:val="00D10988"/>
    <w:rsid w:val="00D338CD"/>
    <w:rsid w:val="00D40916"/>
    <w:rsid w:val="00D40FD2"/>
    <w:rsid w:val="00D42DCA"/>
    <w:rsid w:val="00D47795"/>
    <w:rsid w:val="00D51A76"/>
    <w:rsid w:val="00D52521"/>
    <w:rsid w:val="00D52BCB"/>
    <w:rsid w:val="00D55302"/>
    <w:rsid w:val="00D579DE"/>
    <w:rsid w:val="00D630D7"/>
    <w:rsid w:val="00D72939"/>
    <w:rsid w:val="00D820EB"/>
    <w:rsid w:val="00D863D0"/>
    <w:rsid w:val="00D9262A"/>
    <w:rsid w:val="00DA3221"/>
    <w:rsid w:val="00DA41B2"/>
    <w:rsid w:val="00DA7DCE"/>
    <w:rsid w:val="00DB0780"/>
    <w:rsid w:val="00DB700C"/>
    <w:rsid w:val="00DB7859"/>
    <w:rsid w:val="00DD3CC4"/>
    <w:rsid w:val="00DE3343"/>
    <w:rsid w:val="00DF75FD"/>
    <w:rsid w:val="00E111D9"/>
    <w:rsid w:val="00E207D4"/>
    <w:rsid w:val="00E24551"/>
    <w:rsid w:val="00E341C5"/>
    <w:rsid w:val="00E3443C"/>
    <w:rsid w:val="00E36A6A"/>
    <w:rsid w:val="00E41D50"/>
    <w:rsid w:val="00E43D18"/>
    <w:rsid w:val="00E5671F"/>
    <w:rsid w:val="00E579A5"/>
    <w:rsid w:val="00E60333"/>
    <w:rsid w:val="00E70D61"/>
    <w:rsid w:val="00E8158A"/>
    <w:rsid w:val="00E908AC"/>
    <w:rsid w:val="00EA092A"/>
    <w:rsid w:val="00EA3963"/>
    <w:rsid w:val="00EB09E5"/>
    <w:rsid w:val="00EB31FF"/>
    <w:rsid w:val="00EC23FB"/>
    <w:rsid w:val="00EE18E8"/>
    <w:rsid w:val="00EE357B"/>
    <w:rsid w:val="00EF5859"/>
    <w:rsid w:val="00EF66A2"/>
    <w:rsid w:val="00F04B9D"/>
    <w:rsid w:val="00F12218"/>
    <w:rsid w:val="00F2021A"/>
    <w:rsid w:val="00F21FCF"/>
    <w:rsid w:val="00F3180D"/>
    <w:rsid w:val="00F4419D"/>
    <w:rsid w:val="00F50962"/>
    <w:rsid w:val="00F620B1"/>
    <w:rsid w:val="00F63542"/>
    <w:rsid w:val="00F74E01"/>
    <w:rsid w:val="00F75779"/>
    <w:rsid w:val="00F860F1"/>
    <w:rsid w:val="00F93117"/>
    <w:rsid w:val="00FB329B"/>
    <w:rsid w:val="00FB5825"/>
    <w:rsid w:val="00FB6353"/>
    <w:rsid w:val="00FC59FE"/>
    <w:rsid w:val="00FC614C"/>
    <w:rsid w:val="00FC6F18"/>
    <w:rsid w:val="00FC6FE7"/>
    <w:rsid w:val="00FD6064"/>
    <w:rsid w:val="00FE0DCB"/>
    <w:rsid w:val="00FE115A"/>
    <w:rsid w:val="00FF545B"/>
    <w:rsid w:val="00FF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06325B"/>
  <w15:docId w15:val="{0FF44A26-135A-4614-A73B-9F07AD46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671F"/>
    <w:pPr>
      <w:keepNext/>
      <w:keepLines/>
      <w:spacing w:before="120" w:after="120" w:line="276" w:lineRule="auto"/>
      <w:outlineLvl w:val="0"/>
    </w:pPr>
    <w:rPr>
      <w:rFonts w:ascii="Arial" w:eastAsiaTheme="majorEastAsia" w:hAnsi="Arial" w:cstheme="majorBidi"/>
      <w:b/>
      <w:bCs/>
      <w:color w:val="595959" w:themeColor="text1" w:themeTint="A6"/>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6994"/>
    <w:rPr>
      <w:rFonts w:ascii="Tahoma" w:hAnsi="Tahoma" w:cs="Tahoma"/>
      <w:sz w:val="16"/>
      <w:szCs w:val="16"/>
    </w:rPr>
  </w:style>
  <w:style w:type="character" w:customStyle="1" w:styleId="BalloonTextChar">
    <w:name w:val="Balloon Text Char"/>
    <w:basedOn w:val="DefaultParagraphFont"/>
    <w:link w:val="BalloonText"/>
    <w:rsid w:val="00026994"/>
    <w:rPr>
      <w:rFonts w:ascii="Tahoma" w:hAnsi="Tahoma" w:cs="Tahoma"/>
      <w:sz w:val="16"/>
      <w:szCs w:val="16"/>
    </w:rPr>
  </w:style>
  <w:style w:type="paragraph" w:styleId="ListParagraph">
    <w:name w:val="List Paragraph"/>
    <w:basedOn w:val="Normal"/>
    <w:uiPriority w:val="34"/>
    <w:qFormat/>
    <w:rsid w:val="006451CA"/>
    <w:pPr>
      <w:ind w:left="720"/>
      <w:contextualSpacing/>
    </w:pPr>
  </w:style>
  <w:style w:type="character" w:styleId="Hyperlink">
    <w:name w:val="Hyperlink"/>
    <w:basedOn w:val="DefaultParagraphFont"/>
    <w:uiPriority w:val="99"/>
    <w:rsid w:val="000E3AFE"/>
    <w:rPr>
      <w:color w:val="0000FF" w:themeColor="hyperlink"/>
      <w:u w:val="single"/>
    </w:rPr>
  </w:style>
  <w:style w:type="character" w:styleId="CommentReference">
    <w:name w:val="annotation reference"/>
    <w:basedOn w:val="DefaultParagraphFont"/>
    <w:uiPriority w:val="99"/>
    <w:unhideWhenUsed/>
    <w:rsid w:val="007C413A"/>
    <w:rPr>
      <w:sz w:val="16"/>
      <w:szCs w:val="16"/>
    </w:rPr>
  </w:style>
  <w:style w:type="paragraph" w:styleId="CommentText">
    <w:name w:val="annotation text"/>
    <w:basedOn w:val="Normal"/>
    <w:link w:val="CommentTextChar"/>
    <w:uiPriority w:val="99"/>
    <w:unhideWhenUsed/>
    <w:rsid w:val="007C413A"/>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7C413A"/>
    <w:rPr>
      <w:rFonts w:asciiTheme="minorHAnsi" w:eastAsiaTheme="minorEastAsia" w:hAnsiTheme="minorHAnsi" w:cstheme="minorBidi"/>
    </w:rPr>
  </w:style>
  <w:style w:type="paragraph" w:styleId="CommentSubject">
    <w:name w:val="annotation subject"/>
    <w:basedOn w:val="CommentText"/>
    <w:next w:val="CommentText"/>
    <w:link w:val="CommentSubjectChar"/>
    <w:rsid w:val="00D630D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630D7"/>
    <w:rPr>
      <w:rFonts w:asciiTheme="minorHAnsi" w:eastAsiaTheme="minorEastAsia" w:hAnsiTheme="minorHAnsi" w:cstheme="minorBidi"/>
      <w:b/>
      <w:bCs/>
    </w:rPr>
  </w:style>
  <w:style w:type="character" w:customStyle="1" w:styleId="Heading1Char">
    <w:name w:val="Heading 1 Char"/>
    <w:basedOn w:val="DefaultParagraphFont"/>
    <w:link w:val="Heading1"/>
    <w:uiPriority w:val="9"/>
    <w:rsid w:val="00E5671F"/>
    <w:rPr>
      <w:rFonts w:ascii="Arial" w:eastAsiaTheme="majorEastAsia" w:hAnsi="Arial" w:cstheme="majorBidi"/>
      <w:b/>
      <w:bCs/>
      <w:color w:val="595959" w:themeColor="text1" w:themeTint="A6"/>
      <w:sz w:val="26"/>
      <w:szCs w:val="28"/>
      <w:lang w:eastAsia="en-US"/>
    </w:rPr>
  </w:style>
  <w:style w:type="paragraph" w:styleId="Header">
    <w:name w:val="header"/>
    <w:basedOn w:val="Normal"/>
    <w:link w:val="HeaderChar"/>
    <w:uiPriority w:val="99"/>
    <w:rsid w:val="00175AB6"/>
    <w:pPr>
      <w:tabs>
        <w:tab w:val="center" w:pos="4513"/>
        <w:tab w:val="right" w:pos="9026"/>
      </w:tabs>
    </w:pPr>
  </w:style>
  <w:style w:type="character" w:customStyle="1" w:styleId="HeaderChar">
    <w:name w:val="Header Char"/>
    <w:basedOn w:val="DefaultParagraphFont"/>
    <w:link w:val="Header"/>
    <w:uiPriority w:val="99"/>
    <w:rsid w:val="00175AB6"/>
    <w:rPr>
      <w:sz w:val="24"/>
      <w:szCs w:val="24"/>
    </w:rPr>
  </w:style>
  <w:style w:type="paragraph" w:styleId="Footer">
    <w:name w:val="footer"/>
    <w:basedOn w:val="Normal"/>
    <w:link w:val="FooterChar"/>
    <w:uiPriority w:val="99"/>
    <w:rsid w:val="00175AB6"/>
    <w:pPr>
      <w:tabs>
        <w:tab w:val="center" w:pos="4513"/>
        <w:tab w:val="right" w:pos="9026"/>
      </w:tabs>
    </w:pPr>
  </w:style>
  <w:style w:type="character" w:customStyle="1" w:styleId="FooterChar">
    <w:name w:val="Footer Char"/>
    <w:basedOn w:val="DefaultParagraphFont"/>
    <w:link w:val="Footer"/>
    <w:uiPriority w:val="99"/>
    <w:rsid w:val="00175AB6"/>
    <w:rPr>
      <w:sz w:val="24"/>
      <w:szCs w:val="24"/>
    </w:rPr>
  </w:style>
  <w:style w:type="paragraph" w:customStyle="1" w:styleId="Default">
    <w:name w:val="Default"/>
    <w:rsid w:val="00751E08"/>
    <w:pPr>
      <w:autoSpaceDE w:val="0"/>
      <w:autoSpaceDN w:val="0"/>
      <w:adjustRightInd w:val="0"/>
    </w:pPr>
    <w:rPr>
      <w:rFonts w:ascii="Arial" w:hAnsi="Arial" w:cs="Arial"/>
      <w:color w:val="000000"/>
      <w:sz w:val="24"/>
      <w:szCs w:val="24"/>
    </w:rPr>
  </w:style>
  <w:style w:type="paragraph" w:customStyle="1" w:styleId="Pa4">
    <w:name w:val="Pa4"/>
    <w:basedOn w:val="Default"/>
    <w:next w:val="Default"/>
    <w:uiPriority w:val="99"/>
    <w:rsid w:val="00512CB0"/>
    <w:pPr>
      <w:spacing w:line="191" w:lineRule="atLeast"/>
    </w:pPr>
    <w:rPr>
      <w:rFonts w:ascii="Gibson Light" w:hAnsi="Gibson Light" w:cs="Times New Roman"/>
      <w:color w:val="auto"/>
    </w:rPr>
  </w:style>
  <w:style w:type="character" w:customStyle="1" w:styleId="A10">
    <w:name w:val="A10"/>
    <w:uiPriority w:val="99"/>
    <w:rsid w:val="00512CB0"/>
    <w:rPr>
      <w:rFonts w:cs="Gibson Light"/>
      <w:color w:val="000000"/>
      <w:sz w:val="11"/>
      <w:szCs w:val="11"/>
    </w:rPr>
  </w:style>
  <w:style w:type="paragraph" w:customStyle="1" w:styleId="Pa1">
    <w:name w:val="Pa1"/>
    <w:basedOn w:val="Default"/>
    <w:next w:val="Default"/>
    <w:uiPriority w:val="99"/>
    <w:rsid w:val="000C5C44"/>
    <w:pPr>
      <w:spacing w:line="241" w:lineRule="atLeast"/>
    </w:pPr>
    <w:rPr>
      <w:rFonts w:ascii="Gibson Light" w:hAnsi="Gibson Light" w:cs="Times New Roman"/>
      <w:color w:val="auto"/>
    </w:rPr>
  </w:style>
  <w:style w:type="character" w:customStyle="1" w:styleId="A6">
    <w:name w:val="A6"/>
    <w:uiPriority w:val="99"/>
    <w:rsid w:val="000C5C44"/>
    <w:rPr>
      <w:rFonts w:cs="Gibson Light"/>
      <w:i/>
      <w:iCs/>
      <w:color w:val="000000"/>
      <w:sz w:val="18"/>
      <w:szCs w:val="18"/>
    </w:rPr>
  </w:style>
  <w:style w:type="character" w:customStyle="1" w:styleId="A11">
    <w:name w:val="A11"/>
    <w:uiPriority w:val="99"/>
    <w:rsid w:val="000C5C44"/>
    <w:rPr>
      <w:rFonts w:cs="Gibson Light"/>
      <w:color w:val="000000"/>
      <w:sz w:val="11"/>
      <w:szCs w:val="11"/>
    </w:rPr>
  </w:style>
  <w:style w:type="character" w:customStyle="1" w:styleId="A12">
    <w:name w:val="A12"/>
    <w:uiPriority w:val="99"/>
    <w:rsid w:val="000C5C44"/>
    <w:rPr>
      <w:rFonts w:cs="Gibson Light"/>
      <w:color w:val="000000"/>
      <w:sz w:val="16"/>
      <w:szCs w:val="16"/>
    </w:rPr>
  </w:style>
  <w:style w:type="character" w:customStyle="1" w:styleId="A9">
    <w:name w:val="A9"/>
    <w:uiPriority w:val="99"/>
    <w:rsid w:val="000C5C44"/>
    <w:rPr>
      <w:rFonts w:cs="Gibson Light"/>
      <w:color w:val="000000"/>
      <w:sz w:val="32"/>
      <w:szCs w:val="32"/>
    </w:rPr>
  </w:style>
  <w:style w:type="character" w:customStyle="1" w:styleId="A16">
    <w:name w:val="A16"/>
    <w:uiPriority w:val="99"/>
    <w:rsid w:val="000C5C44"/>
    <w:rPr>
      <w:rFonts w:ascii="Gibson" w:hAnsi="Gibson" w:cs="Gibson"/>
      <w:color w:val="000000"/>
      <w:sz w:val="20"/>
      <w:szCs w:val="20"/>
    </w:rPr>
  </w:style>
  <w:style w:type="table" w:styleId="TableGrid">
    <w:name w:val="Table Grid"/>
    <w:basedOn w:val="TableNormal"/>
    <w:uiPriority w:val="39"/>
    <w:rsid w:val="00A2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9995">
      <w:bodyDiv w:val="1"/>
      <w:marLeft w:val="0"/>
      <w:marRight w:val="0"/>
      <w:marTop w:val="0"/>
      <w:marBottom w:val="0"/>
      <w:divBdr>
        <w:top w:val="none" w:sz="0" w:space="0" w:color="auto"/>
        <w:left w:val="none" w:sz="0" w:space="0" w:color="auto"/>
        <w:bottom w:val="none" w:sz="0" w:space="0" w:color="auto"/>
        <w:right w:val="none" w:sz="0" w:space="0" w:color="auto"/>
      </w:divBdr>
    </w:div>
    <w:div w:id="157427843">
      <w:bodyDiv w:val="1"/>
      <w:marLeft w:val="0"/>
      <w:marRight w:val="0"/>
      <w:marTop w:val="0"/>
      <w:marBottom w:val="0"/>
      <w:divBdr>
        <w:top w:val="none" w:sz="0" w:space="0" w:color="auto"/>
        <w:left w:val="none" w:sz="0" w:space="0" w:color="auto"/>
        <w:bottom w:val="none" w:sz="0" w:space="0" w:color="auto"/>
        <w:right w:val="none" w:sz="0" w:space="0" w:color="auto"/>
      </w:divBdr>
    </w:div>
    <w:div w:id="179903897">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41571431">
      <w:bodyDiv w:val="1"/>
      <w:marLeft w:val="0"/>
      <w:marRight w:val="0"/>
      <w:marTop w:val="0"/>
      <w:marBottom w:val="0"/>
      <w:divBdr>
        <w:top w:val="none" w:sz="0" w:space="0" w:color="auto"/>
        <w:left w:val="none" w:sz="0" w:space="0" w:color="auto"/>
        <w:bottom w:val="none" w:sz="0" w:space="0" w:color="auto"/>
        <w:right w:val="none" w:sz="0" w:space="0" w:color="auto"/>
      </w:divBdr>
    </w:div>
    <w:div w:id="261644941">
      <w:bodyDiv w:val="1"/>
      <w:marLeft w:val="0"/>
      <w:marRight w:val="0"/>
      <w:marTop w:val="0"/>
      <w:marBottom w:val="0"/>
      <w:divBdr>
        <w:top w:val="none" w:sz="0" w:space="0" w:color="auto"/>
        <w:left w:val="none" w:sz="0" w:space="0" w:color="auto"/>
        <w:bottom w:val="none" w:sz="0" w:space="0" w:color="auto"/>
        <w:right w:val="none" w:sz="0" w:space="0" w:color="auto"/>
      </w:divBdr>
    </w:div>
    <w:div w:id="641810975">
      <w:bodyDiv w:val="1"/>
      <w:marLeft w:val="0"/>
      <w:marRight w:val="0"/>
      <w:marTop w:val="0"/>
      <w:marBottom w:val="0"/>
      <w:divBdr>
        <w:top w:val="none" w:sz="0" w:space="0" w:color="auto"/>
        <w:left w:val="none" w:sz="0" w:space="0" w:color="auto"/>
        <w:bottom w:val="none" w:sz="0" w:space="0" w:color="auto"/>
        <w:right w:val="none" w:sz="0" w:space="0" w:color="auto"/>
      </w:divBdr>
    </w:div>
    <w:div w:id="778185575">
      <w:bodyDiv w:val="1"/>
      <w:marLeft w:val="0"/>
      <w:marRight w:val="0"/>
      <w:marTop w:val="0"/>
      <w:marBottom w:val="0"/>
      <w:divBdr>
        <w:top w:val="none" w:sz="0" w:space="0" w:color="auto"/>
        <w:left w:val="none" w:sz="0" w:space="0" w:color="auto"/>
        <w:bottom w:val="none" w:sz="0" w:space="0" w:color="auto"/>
        <w:right w:val="none" w:sz="0" w:space="0" w:color="auto"/>
      </w:divBdr>
    </w:div>
    <w:div w:id="979386789">
      <w:bodyDiv w:val="1"/>
      <w:marLeft w:val="0"/>
      <w:marRight w:val="0"/>
      <w:marTop w:val="0"/>
      <w:marBottom w:val="0"/>
      <w:divBdr>
        <w:top w:val="none" w:sz="0" w:space="0" w:color="auto"/>
        <w:left w:val="none" w:sz="0" w:space="0" w:color="auto"/>
        <w:bottom w:val="none" w:sz="0" w:space="0" w:color="auto"/>
        <w:right w:val="none" w:sz="0" w:space="0" w:color="auto"/>
      </w:divBdr>
    </w:div>
    <w:div w:id="1002975226">
      <w:bodyDiv w:val="1"/>
      <w:marLeft w:val="0"/>
      <w:marRight w:val="0"/>
      <w:marTop w:val="0"/>
      <w:marBottom w:val="0"/>
      <w:divBdr>
        <w:top w:val="none" w:sz="0" w:space="0" w:color="auto"/>
        <w:left w:val="none" w:sz="0" w:space="0" w:color="auto"/>
        <w:bottom w:val="none" w:sz="0" w:space="0" w:color="auto"/>
        <w:right w:val="none" w:sz="0" w:space="0" w:color="auto"/>
      </w:divBdr>
    </w:div>
    <w:div w:id="1037465057">
      <w:bodyDiv w:val="1"/>
      <w:marLeft w:val="0"/>
      <w:marRight w:val="0"/>
      <w:marTop w:val="0"/>
      <w:marBottom w:val="0"/>
      <w:divBdr>
        <w:top w:val="none" w:sz="0" w:space="0" w:color="auto"/>
        <w:left w:val="none" w:sz="0" w:space="0" w:color="auto"/>
        <w:bottom w:val="none" w:sz="0" w:space="0" w:color="auto"/>
        <w:right w:val="none" w:sz="0" w:space="0" w:color="auto"/>
      </w:divBdr>
    </w:div>
    <w:div w:id="1047756022">
      <w:bodyDiv w:val="1"/>
      <w:marLeft w:val="0"/>
      <w:marRight w:val="0"/>
      <w:marTop w:val="0"/>
      <w:marBottom w:val="0"/>
      <w:divBdr>
        <w:top w:val="none" w:sz="0" w:space="0" w:color="auto"/>
        <w:left w:val="none" w:sz="0" w:space="0" w:color="auto"/>
        <w:bottom w:val="none" w:sz="0" w:space="0" w:color="auto"/>
        <w:right w:val="none" w:sz="0" w:space="0" w:color="auto"/>
      </w:divBdr>
    </w:div>
    <w:div w:id="1054498766">
      <w:bodyDiv w:val="1"/>
      <w:marLeft w:val="0"/>
      <w:marRight w:val="0"/>
      <w:marTop w:val="0"/>
      <w:marBottom w:val="0"/>
      <w:divBdr>
        <w:top w:val="none" w:sz="0" w:space="0" w:color="auto"/>
        <w:left w:val="none" w:sz="0" w:space="0" w:color="auto"/>
        <w:bottom w:val="none" w:sz="0" w:space="0" w:color="auto"/>
        <w:right w:val="none" w:sz="0" w:space="0" w:color="auto"/>
      </w:divBdr>
    </w:div>
    <w:div w:id="1116827275">
      <w:bodyDiv w:val="1"/>
      <w:marLeft w:val="0"/>
      <w:marRight w:val="0"/>
      <w:marTop w:val="0"/>
      <w:marBottom w:val="0"/>
      <w:divBdr>
        <w:top w:val="none" w:sz="0" w:space="0" w:color="auto"/>
        <w:left w:val="none" w:sz="0" w:space="0" w:color="auto"/>
        <w:bottom w:val="none" w:sz="0" w:space="0" w:color="auto"/>
        <w:right w:val="none" w:sz="0" w:space="0" w:color="auto"/>
      </w:divBdr>
    </w:div>
    <w:div w:id="1199204143">
      <w:bodyDiv w:val="1"/>
      <w:marLeft w:val="0"/>
      <w:marRight w:val="0"/>
      <w:marTop w:val="0"/>
      <w:marBottom w:val="0"/>
      <w:divBdr>
        <w:top w:val="none" w:sz="0" w:space="0" w:color="auto"/>
        <w:left w:val="none" w:sz="0" w:space="0" w:color="auto"/>
        <w:bottom w:val="none" w:sz="0" w:space="0" w:color="auto"/>
        <w:right w:val="none" w:sz="0" w:space="0" w:color="auto"/>
      </w:divBdr>
    </w:div>
    <w:div w:id="1332414229">
      <w:bodyDiv w:val="1"/>
      <w:marLeft w:val="0"/>
      <w:marRight w:val="0"/>
      <w:marTop w:val="0"/>
      <w:marBottom w:val="0"/>
      <w:divBdr>
        <w:top w:val="none" w:sz="0" w:space="0" w:color="auto"/>
        <w:left w:val="none" w:sz="0" w:space="0" w:color="auto"/>
        <w:bottom w:val="none" w:sz="0" w:space="0" w:color="auto"/>
        <w:right w:val="none" w:sz="0" w:space="0" w:color="auto"/>
      </w:divBdr>
    </w:div>
    <w:div w:id="1363171918">
      <w:bodyDiv w:val="1"/>
      <w:marLeft w:val="0"/>
      <w:marRight w:val="0"/>
      <w:marTop w:val="0"/>
      <w:marBottom w:val="0"/>
      <w:divBdr>
        <w:top w:val="none" w:sz="0" w:space="0" w:color="auto"/>
        <w:left w:val="none" w:sz="0" w:space="0" w:color="auto"/>
        <w:bottom w:val="none" w:sz="0" w:space="0" w:color="auto"/>
        <w:right w:val="none" w:sz="0" w:space="0" w:color="auto"/>
      </w:divBdr>
    </w:div>
    <w:div w:id="1364214653">
      <w:bodyDiv w:val="1"/>
      <w:marLeft w:val="0"/>
      <w:marRight w:val="0"/>
      <w:marTop w:val="0"/>
      <w:marBottom w:val="0"/>
      <w:divBdr>
        <w:top w:val="none" w:sz="0" w:space="0" w:color="auto"/>
        <w:left w:val="none" w:sz="0" w:space="0" w:color="auto"/>
        <w:bottom w:val="none" w:sz="0" w:space="0" w:color="auto"/>
        <w:right w:val="none" w:sz="0" w:space="0" w:color="auto"/>
      </w:divBdr>
    </w:div>
    <w:div w:id="1364480438">
      <w:bodyDiv w:val="1"/>
      <w:marLeft w:val="0"/>
      <w:marRight w:val="0"/>
      <w:marTop w:val="0"/>
      <w:marBottom w:val="0"/>
      <w:divBdr>
        <w:top w:val="none" w:sz="0" w:space="0" w:color="auto"/>
        <w:left w:val="none" w:sz="0" w:space="0" w:color="auto"/>
        <w:bottom w:val="none" w:sz="0" w:space="0" w:color="auto"/>
        <w:right w:val="none" w:sz="0" w:space="0" w:color="auto"/>
      </w:divBdr>
    </w:div>
    <w:div w:id="1436944711">
      <w:bodyDiv w:val="1"/>
      <w:marLeft w:val="0"/>
      <w:marRight w:val="0"/>
      <w:marTop w:val="0"/>
      <w:marBottom w:val="0"/>
      <w:divBdr>
        <w:top w:val="none" w:sz="0" w:space="0" w:color="auto"/>
        <w:left w:val="none" w:sz="0" w:space="0" w:color="auto"/>
        <w:bottom w:val="none" w:sz="0" w:space="0" w:color="auto"/>
        <w:right w:val="none" w:sz="0" w:space="0" w:color="auto"/>
      </w:divBdr>
    </w:div>
    <w:div w:id="1627463572">
      <w:bodyDiv w:val="1"/>
      <w:marLeft w:val="0"/>
      <w:marRight w:val="0"/>
      <w:marTop w:val="0"/>
      <w:marBottom w:val="0"/>
      <w:divBdr>
        <w:top w:val="none" w:sz="0" w:space="0" w:color="auto"/>
        <w:left w:val="none" w:sz="0" w:space="0" w:color="auto"/>
        <w:bottom w:val="none" w:sz="0" w:space="0" w:color="auto"/>
        <w:right w:val="none" w:sz="0" w:space="0" w:color="auto"/>
      </w:divBdr>
    </w:div>
    <w:div w:id="1655601196">
      <w:bodyDiv w:val="1"/>
      <w:marLeft w:val="0"/>
      <w:marRight w:val="0"/>
      <w:marTop w:val="0"/>
      <w:marBottom w:val="0"/>
      <w:divBdr>
        <w:top w:val="none" w:sz="0" w:space="0" w:color="auto"/>
        <w:left w:val="none" w:sz="0" w:space="0" w:color="auto"/>
        <w:bottom w:val="none" w:sz="0" w:space="0" w:color="auto"/>
        <w:right w:val="none" w:sz="0" w:space="0" w:color="auto"/>
      </w:divBdr>
    </w:div>
    <w:div w:id="1715150958">
      <w:bodyDiv w:val="1"/>
      <w:marLeft w:val="0"/>
      <w:marRight w:val="0"/>
      <w:marTop w:val="0"/>
      <w:marBottom w:val="0"/>
      <w:divBdr>
        <w:top w:val="none" w:sz="0" w:space="0" w:color="auto"/>
        <w:left w:val="none" w:sz="0" w:space="0" w:color="auto"/>
        <w:bottom w:val="none" w:sz="0" w:space="0" w:color="auto"/>
        <w:right w:val="none" w:sz="0" w:space="0" w:color="auto"/>
      </w:divBdr>
    </w:div>
    <w:div w:id="1811744263">
      <w:bodyDiv w:val="1"/>
      <w:marLeft w:val="0"/>
      <w:marRight w:val="0"/>
      <w:marTop w:val="0"/>
      <w:marBottom w:val="0"/>
      <w:divBdr>
        <w:top w:val="none" w:sz="0" w:space="0" w:color="auto"/>
        <w:left w:val="none" w:sz="0" w:space="0" w:color="auto"/>
        <w:bottom w:val="none" w:sz="0" w:space="0" w:color="auto"/>
        <w:right w:val="none" w:sz="0" w:space="0" w:color="auto"/>
      </w:divBdr>
    </w:div>
    <w:div w:id="1854606148">
      <w:bodyDiv w:val="1"/>
      <w:marLeft w:val="0"/>
      <w:marRight w:val="0"/>
      <w:marTop w:val="0"/>
      <w:marBottom w:val="0"/>
      <w:divBdr>
        <w:top w:val="none" w:sz="0" w:space="0" w:color="auto"/>
        <w:left w:val="none" w:sz="0" w:space="0" w:color="auto"/>
        <w:bottom w:val="none" w:sz="0" w:space="0" w:color="auto"/>
        <w:right w:val="none" w:sz="0" w:space="0" w:color="auto"/>
      </w:divBdr>
    </w:div>
    <w:div w:id="1864394904">
      <w:bodyDiv w:val="1"/>
      <w:marLeft w:val="0"/>
      <w:marRight w:val="0"/>
      <w:marTop w:val="0"/>
      <w:marBottom w:val="0"/>
      <w:divBdr>
        <w:top w:val="none" w:sz="0" w:space="0" w:color="auto"/>
        <w:left w:val="none" w:sz="0" w:space="0" w:color="auto"/>
        <w:bottom w:val="none" w:sz="0" w:space="0" w:color="auto"/>
        <w:right w:val="none" w:sz="0" w:space="0" w:color="auto"/>
      </w:divBdr>
    </w:div>
    <w:div w:id="1936670583">
      <w:bodyDiv w:val="1"/>
      <w:marLeft w:val="0"/>
      <w:marRight w:val="0"/>
      <w:marTop w:val="0"/>
      <w:marBottom w:val="0"/>
      <w:divBdr>
        <w:top w:val="none" w:sz="0" w:space="0" w:color="auto"/>
        <w:left w:val="none" w:sz="0" w:space="0" w:color="auto"/>
        <w:bottom w:val="none" w:sz="0" w:space="0" w:color="auto"/>
        <w:right w:val="none" w:sz="0" w:space="0" w:color="auto"/>
      </w:divBdr>
    </w:div>
    <w:div w:id="1940943814">
      <w:bodyDiv w:val="1"/>
      <w:marLeft w:val="0"/>
      <w:marRight w:val="0"/>
      <w:marTop w:val="0"/>
      <w:marBottom w:val="0"/>
      <w:divBdr>
        <w:top w:val="none" w:sz="0" w:space="0" w:color="auto"/>
        <w:left w:val="none" w:sz="0" w:space="0" w:color="auto"/>
        <w:bottom w:val="none" w:sz="0" w:space="0" w:color="auto"/>
        <w:right w:val="none" w:sz="0" w:space="0" w:color="auto"/>
      </w:divBdr>
    </w:div>
    <w:div w:id="1958028224">
      <w:bodyDiv w:val="1"/>
      <w:marLeft w:val="0"/>
      <w:marRight w:val="0"/>
      <w:marTop w:val="0"/>
      <w:marBottom w:val="0"/>
      <w:divBdr>
        <w:top w:val="none" w:sz="0" w:space="0" w:color="auto"/>
        <w:left w:val="none" w:sz="0" w:space="0" w:color="auto"/>
        <w:bottom w:val="none" w:sz="0" w:space="0" w:color="auto"/>
        <w:right w:val="none" w:sz="0" w:space="0" w:color="auto"/>
      </w:divBdr>
    </w:div>
    <w:div w:id="1993485468">
      <w:bodyDiv w:val="1"/>
      <w:marLeft w:val="0"/>
      <w:marRight w:val="0"/>
      <w:marTop w:val="0"/>
      <w:marBottom w:val="0"/>
      <w:divBdr>
        <w:top w:val="none" w:sz="0" w:space="0" w:color="auto"/>
        <w:left w:val="none" w:sz="0" w:space="0" w:color="auto"/>
        <w:bottom w:val="none" w:sz="0" w:space="0" w:color="auto"/>
        <w:right w:val="none" w:sz="0" w:space="0" w:color="auto"/>
      </w:divBdr>
    </w:div>
    <w:div w:id="2015108663">
      <w:bodyDiv w:val="1"/>
      <w:marLeft w:val="0"/>
      <w:marRight w:val="0"/>
      <w:marTop w:val="0"/>
      <w:marBottom w:val="0"/>
      <w:divBdr>
        <w:top w:val="none" w:sz="0" w:space="0" w:color="auto"/>
        <w:left w:val="none" w:sz="0" w:space="0" w:color="auto"/>
        <w:bottom w:val="none" w:sz="0" w:space="0" w:color="auto"/>
        <w:right w:val="none" w:sz="0" w:space="0" w:color="auto"/>
      </w:divBdr>
    </w:div>
    <w:div w:id="20223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1.xml"/><Relationship Id="rId32" Type="http://schemas.openxmlformats.org/officeDocument/2006/relationships/hyperlink" Target="http://www.gov.scot/about/public-bodies/HMFSI/Reports-Publication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solidFill>
                  <a:schemeClr val="tx1"/>
                </a:solidFill>
                <a:latin typeface="Arial" panose="020B0604020202020204" pitchFamily="34" charset="0"/>
                <a:cs typeface="Arial" panose="020B0604020202020204" pitchFamily="34" charset="0"/>
              </a:rPr>
              <a:t>Stirling Operational Activity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3"/>
          <c:tx>
            <c:strRef>
              <c:f>Sheet1!$E$1</c:f>
              <c:strCache>
                <c:ptCount val="1"/>
                <c:pt idx="0">
                  <c:v>Total Incidents</c:v>
                </c:pt>
              </c:strCache>
            </c:strRef>
          </c:tx>
          <c:spPr>
            <a:solidFill>
              <a:schemeClr val="accent4"/>
            </a:solidFill>
            <a:ln>
              <a:noFill/>
            </a:ln>
            <a:effectLst/>
          </c:spPr>
          <c:invertIfNegative val="0"/>
          <c:dPt>
            <c:idx val="0"/>
            <c:invertIfNegative val="0"/>
            <c:bubble3D val="0"/>
            <c:spPr>
              <a:solidFill>
                <a:schemeClr val="bg1">
                  <a:lumMod val="75000"/>
                </a:schemeClr>
              </a:solidFill>
              <a:ln>
                <a:noFill/>
              </a:ln>
              <a:effectLst/>
            </c:spPr>
          </c:dPt>
          <c:dPt>
            <c:idx val="1"/>
            <c:invertIfNegative val="0"/>
            <c:bubble3D val="0"/>
            <c:spPr>
              <a:solidFill>
                <a:schemeClr val="bg1">
                  <a:lumMod val="75000"/>
                </a:schemeClr>
              </a:solidFill>
              <a:ln>
                <a:noFill/>
              </a:ln>
              <a:effectLst/>
            </c:spPr>
          </c:dPt>
          <c:dPt>
            <c:idx val="2"/>
            <c:invertIfNegative val="0"/>
            <c:bubble3D val="0"/>
            <c:spPr>
              <a:solidFill>
                <a:schemeClr val="bg1">
                  <a:lumMod val="75000"/>
                </a:schemeClr>
              </a:solidFill>
              <a:ln>
                <a:noFill/>
              </a:ln>
              <a:effectLst/>
            </c:spPr>
          </c:dPt>
          <c:dPt>
            <c:idx val="3"/>
            <c:invertIfNegative val="0"/>
            <c:bubble3D val="0"/>
            <c:spPr>
              <a:solidFill>
                <a:schemeClr val="bg1">
                  <a:lumMod val="75000"/>
                </a:schemeClr>
              </a:solidFill>
              <a:ln>
                <a:noFill/>
              </a:ln>
              <a:effectLst/>
            </c:spPr>
          </c:dPt>
          <c:dPt>
            <c:idx val="4"/>
            <c:invertIfNegative val="0"/>
            <c:bubble3D val="0"/>
            <c:spPr>
              <a:solidFill>
                <a:schemeClr val="bg1">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Sheet1!$E$2:$E$6</c:f>
              <c:numCache>
                <c:formatCode>General</c:formatCode>
                <c:ptCount val="5"/>
                <c:pt idx="0">
                  <c:v>1431</c:v>
                </c:pt>
                <c:pt idx="1">
                  <c:v>1368</c:v>
                </c:pt>
                <c:pt idx="2">
                  <c:v>1312</c:v>
                </c:pt>
                <c:pt idx="3">
                  <c:v>1479</c:v>
                </c:pt>
                <c:pt idx="4">
                  <c:v>1569</c:v>
                </c:pt>
              </c:numCache>
            </c:numRef>
          </c:val>
        </c:ser>
        <c:dLbls>
          <c:showLegendKey val="0"/>
          <c:showVal val="0"/>
          <c:showCatName val="0"/>
          <c:showSerName val="0"/>
          <c:showPercent val="0"/>
          <c:showBubbleSize val="0"/>
        </c:dLbls>
        <c:gapWidth val="219"/>
        <c:axId val="256151592"/>
        <c:axId val="256151984"/>
      </c:barChart>
      <c:lineChart>
        <c:grouping val="stacked"/>
        <c:varyColors val="0"/>
        <c:ser>
          <c:idx val="0"/>
          <c:order val="0"/>
          <c:tx>
            <c:strRef>
              <c:f>Sheet1!$B$1</c:f>
              <c:strCache>
                <c:ptCount val="1"/>
                <c:pt idx="0">
                  <c:v>Fires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292</c:v>
                </c:pt>
                <c:pt idx="1">
                  <c:v>317</c:v>
                </c:pt>
                <c:pt idx="2">
                  <c:v>325</c:v>
                </c:pt>
                <c:pt idx="3">
                  <c:v>464</c:v>
                </c:pt>
                <c:pt idx="4">
                  <c:v>403</c:v>
                </c:pt>
              </c:numCache>
            </c:numRef>
          </c:val>
          <c:smooth val="0"/>
        </c:ser>
        <c:ser>
          <c:idx val="1"/>
          <c:order val="1"/>
          <c:tx>
            <c:strRef>
              <c:f>Sheet1!$C$1</c:f>
              <c:strCache>
                <c:ptCount val="1"/>
                <c:pt idx="0">
                  <c:v>Non-Fire Emergencies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Sheet1!$A$2:$A$6</c:f>
              <c:strCache>
                <c:ptCount val="5"/>
                <c:pt idx="0">
                  <c:v>2012/13</c:v>
                </c:pt>
                <c:pt idx="1">
                  <c:v>2013/14</c:v>
                </c:pt>
                <c:pt idx="2">
                  <c:v>2014/15</c:v>
                </c:pt>
                <c:pt idx="3">
                  <c:v>2015/16</c:v>
                </c:pt>
                <c:pt idx="4">
                  <c:v>2016/17</c:v>
                </c:pt>
              </c:strCache>
            </c:strRef>
          </c:cat>
          <c:val>
            <c:numRef>
              <c:f>Sheet1!$C$2:$C$6</c:f>
              <c:numCache>
                <c:formatCode>General</c:formatCode>
                <c:ptCount val="5"/>
                <c:pt idx="0">
                  <c:v>222</c:v>
                </c:pt>
                <c:pt idx="1">
                  <c:v>186</c:v>
                </c:pt>
                <c:pt idx="2">
                  <c:v>187</c:v>
                </c:pt>
                <c:pt idx="3">
                  <c:v>240</c:v>
                </c:pt>
                <c:pt idx="4">
                  <c:v>231</c:v>
                </c:pt>
              </c:numCache>
            </c:numRef>
          </c:val>
          <c:smooth val="0"/>
        </c:ser>
        <c:ser>
          <c:idx val="2"/>
          <c:order val="2"/>
          <c:tx>
            <c:strRef>
              <c:f>Sheet1!$D$1</c:f>
              <c:strCache>
                <c:ptCount val="1"/>
                <c:pt idx="0">
                  <c:v>False Alarms Total Fires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Sheet1!$A$2:$A$6</c:f>
              <c:strCache>
                <c:ptCount val="5"/>
                <c:pt idx="0">
                  <c:v>2012/13</c:v>
                </c:pt>
                <c:pt idx="1">
                  <c:v>2013/14</c:v>
                </c:pt>
                <c:pt idx="2">
                  <c:v>2014/15</c:v>
                </c:pt>
                <c:pt idx="3">
                  <c:v>2015/16</c:v>
                </c:pt>
                <c:pt idx="4">
                  <c:v>2016/17</c:v>
                </c:pt>
              </c:strCache>
            </c:strRef>
          </c:cat>
          <c:val>
            <c:numRef>
              <c:f>Sheet1!$D$2:$D$6</c:f>
              <c:numCache>
                <c:formatCode>General</c:formatCode>
                <c:ptCount val="5"/>
                <c:pt idx="0">
                  <c:v>917</c:v>
                </c:pt>
                <c:pt idx="1">
                  <c:v>865</c:v>
                </c:pt>
                <c:pt idx="2">
                  <c:v>800</c:v>
                </c:pt>
                <c:pt idx="3">
                  <c:v>775</c:v>
                </c:pt>
                <c:pt idx="4">
                  <c:v>935</c:v>
                </c:pt>
              </c:numCache>
            </c:numRef>
          </c:val>
          <c:smooth val="0"/>
        </c:ser>
        <c:dLbls>
          <c:showLegendKey val="0"/>
          <c:showVal val="0"/>
          <c:showCatName val="0"/>
          <c:showSerName val="0"/>
          <c:showPercent val="0"/>
          <c:showBubbleSize val="0"/>
        </c:dLbls>
        <c:marker val="1"/>
        <c:smooth val="0"/>
        <c:axId val="302593296"/>
        <c:axId val="302592904"/>
      </c:lineChart>
      <c:catAx>
        <c:axId val="25615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51984"/>
        <c:crosses val="autoZero"/>
        <c:auto val="1"/>
        <c:lblAlgn val="ctr"/>
        <c:lblOffset val="100"/>
        <c:noMultiLvlLbl val="0"/>
      </c:catAx>
      <c:valAx>
        <c:axId val="25615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151592"/>
        <c:crosses val="autoZero"/>
        <c:crossBetween val="between"/>
      </c:valAx>
      <c:valAx>
        <c:axId val="3025929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593296"/>
        <c:crosses val="max"/>
        <c:crossBetween val="between"/>
      </c:valAx>
      <c:catAx>
        <c:axId val="302593296"/>
        <c:scaling>
          <c:orientation val="minMax"/>
        </c:scaling>
        <c:delete val="1"/>
        <c:axPos val="b"/>
        <c:numFmt formatCode="General" sourceLinked="1"/>
        <c:majorTickMark val="out"/>
        <c:minorTickMark val="none"/>
        <c:tickLblPos val="nextTo"/>
        <c:crossAx val="30259290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Deliberate Fire Activity</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All fires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294685990338161E-2"/>
                  <c:y val="-9.3278463648834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41545893719805E-2"/>
                  <c:y val="-8.77914951989026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971014492753624E-2"/>
                  <c:y val="-8.2304526748971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Sheet1!$B$2:$B$6</c:f>
              <c:numCache>
                <c:formatCode>0</c:formatCode>
                <c:ptCount val="5"/>
                <c:pt idx="0">
                  <c:v>292</c:v>
                </c:pt>
                <c:pt idx="1">
                  <c:v>317</c:v>
                </c:pt>
                <c:pt idx="2">
                  <c:v>325</c:v>
                </c:pt>
                <c:pt idx="3">
                  <c:v>464</c:v>
                </c:pt>
                <c:pt idx="4">
                  <c:v>403</c:v>
                </c:pt>
              </c:numCache>
            </c:numRef>
          </c:val>
          <c:smooth val="0"/>
        </c:ser>
        <c:ser>
          <c:idx val="1"/>
          <c:order val="1"/>
          <c:tx>
            <c:strRef>
              <c:f>Sheet1!$C$1</c:f>
              <c:strCache>
                <c:ptCount val="1"/>
                <c:pt idx="0">
                  <c:v>Deliberate Fires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9777401242566201E-2"/>
                  <c:y val="4.00856717836085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28937838502E-2"/>
                  <c:y val="5.28507675412976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486262002059868E-2"/>
                  <c:y val="4.58331580955942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299744177547503E-2"/>
                  <c:y val="5.52766809193361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Sheet1!$C$2:$C$6</c:f>
              <c:numCache>
                <c:formatCode>0</c:formatCode>
                <c:ptCount val="5"/>
                <c:pt idx="0">
                  <c:v>120</c:v>
                </c:pt>
                <c:pt idx="1">
                  <c:v>114</c:v>
                </c:pt>
                <c:pt idx="2">
                  <c:v>99</c:v>
                </c:pt>
                <c:pt idx="3">
                  <c:v>199</c:v>
                </c:pt>
                <c:pt idx="4">
                  <c:v>183</c:v>
                </c:pt>
              </c:numCache>
            </c:numRef>
          </c:val>
          <c:smooth val="0"/>
        </c:ser>
        <c:dLbls>
          <c:showLegendKey val="0"/>
          <c:showVal val="0"/>
          <c:showCatName val="0"/>
          <c:showSerName val="0"/>
          <c:showPercent val="0"/>
          <c:showBubbleSize val="0"/>
        </c:dLbls>
        <c:marker val="1"/>
        <c:smooth val="0"/>
        <c:axId val="317597120"/>
        <c:axId val="317597512"/>
      </c:lineChart>
      <c:catAx>
        <c:axId val="31759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97512"/>
        <c:crosses val="autoZero"/>
        <c:auto val="1"/>
        <c:lblAlgn val="ctr"/>
        <c:lblOffset val="100"/>
        <c:noMultiLvlLbl val="0"/>
      </c:catAx>
      <c:valAx>
        <c:axId val="317597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97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Deliberate Fire by Type</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Deliberate Primary Fires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6949854952341487E-2"/>
                  <c:y val="3.73306855704619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262605332228246E-2"/>
                  <c:y val="4.52151692182172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4309329755E-2"/>
                  <c:y val="-4.71138615004503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595925509311334E-2"/>
                  <c:y val="5.063784915448611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2916/17</c:v>
                </c:pt>
              </c:strCache>
            </c:strRef>
          </c:cat>
          <c:val>
            <c:numRef>
              <c:f>Sheet1!$B$2:$B$6</c:f>
              <c:numCache>
                <c:formatCode>0</c:formatCode>
                <c:ptCount val="5"/>
                <c:pt idx="0">
                  <c:v>27</c:v>
                </c:pt>
                <c:pt idx="1">
                  <c:v>26</c:v>
                </c:pt>
                <c:pt idx="2">
                  <c:v>31</c:v>
                </c:pt>
                <c:pt idx="3">
                  <c:v>49</c:v>
                </c:pt>
                <c:pt idx="4">
                  <c:v>53</c:v>
                </c:pt>
              </c:numCache>
            </c:numRef>
          </c:val>
          <c:smooth val="0"/>
        </c:ser>
        <c:ser>
          <c:idx val="1"/>
          <c:order val="1"/>
          <c:tx>
            <c:strRef>
              <c:f>Sheet1!$C$1</c:f>
              <c:strCache>
                <c:ptCount val="1"/>
                <c:pt idx="0">
                  <c:v>Deliberate Secondary Fires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41545893719805E-2"/>
                  <c:y val="-7.68175582990398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2916/17</c:v>
                </c:pt>
              </c:strCache>
            </c:strRef>
          </c:cat>
          <c:val>
            <c:numRef>
              <c:f>Sheet1!$C$2:$C$6</c:f>
              <c:numCache>
                <c:formatCode>0</c:formatCode>
                <c:ptCount val="5"/>
                <c:pt idx="0">
                  <c:v>93</c:v>
                </c:pt>
                <c:pt idx="1">
                  <c:v>88</c:v>
                </c:pt>
                <c:pt idx="2">
                  <c:v>68</c:v>
                </c:pt>
                <c:pt idx="3">
                  <c:v>150</c:v>
                </c:pt>
                <c:pt idx="4">
                  <c:v>130</c:v>
                </c:pt>
              </c:numCache>
            </c:numRef>
          </c:val>
          <c:smooth val="0"/>
        </c:ser>
        <c:ser>
          <c:idx val="2"/>
          <c:order val="2"/>
          <c:tx>
            <c:strRef>
              <c:f>Sheet1!$D$1</c:f>
              <c:strCache>
                <c:ptCount val="1"/>
                <c:pt idx="0">
                  <c:v>Deliberate Refuse Fires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8959603733743811E-2"/>
                  <c:y val="-5.14583477651803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323571395680802E-2"/>
                  <c:y val="-4.13694475873800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771094402673348E-3"/>
                  <c:y val="4.30107526881720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62656641604009E-2"/>
                  <c:y val="-5.08308895405669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531328320802004E-2"/>
                  <c:y val="2.346041055718475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2916/17</c:v>
                </c:pt>
              </c:strCache>
            </c:strRef>
          </c:cat>
          <c:val>
            <c:numRef>
              <c:f>Sheet1!$D$2:$D$6</c:f>
              <c:numCache>
                <c:formatCode>0</c:formatCode>
                <c:ptCount val="5"/>
                <c:pt idx="0">
                  <c:v>53</c:v>
                </c:pt>
                <c:pt idx="1">
                  <c:v>36</c:v>
                </c:pt>
                <c:pt idx="2">
                  <c:v>26</c:v>
                </c:pt>
                <c:pt idx="3">
                  <c:v>53</c:v>
                </c:pt>
                <c:pt idx="4">
                  <c:v>44</c:v>
                </c:pt>
              </c:numCache>
            </c:numRef>
          </c:val>
          <c:smooth val="0"/>
        </c:ser>
        <c:dLbls>
          <c:showLegendKey val="0"/>
          <c:showVal val="0"/>
          <c:showCatName val="0"/>
          <c:showSerName val="0"/>
          <c:showPercent val="0"/>
          <c:showBubbleSize val="0"/>
        </c:dLbls>
        <c:marker val="1"/>
        <c:smooth val="0"/>
        <c:axId val="317598296"/>
        <c:axId val="322688000"/>
      </c:lineChart>
      <c:catAx>
        <c:axId val="31759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88000"/>
        <c:crosses val="autoZero"/>
        <c:auto val="1"/>
        <c:lblAlgn val="ctr"/>
        <c:lblOffset val="100"/>
        <c:noMultiLvlLbl val="0"/>
      </c:catAx>
      <c:valAx>
        <c:axId val="32268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98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Non-Domestic Fires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43</c:v>
                </c:pt>
                <c:pt idx="1">
                  <c:v>45</c:v>
                </c:pt>
                <c:pt idx="2">
                  <c:v>40</c:v>
                </c:pt>
                <c:pt idx="3">
                  <c:v>72</c:v>
                </c:pt>
                <c:pt idx="4">
                  <c:v>44</c:v>
                </c:pt>
              </c:numCache>
            </c:numRef>
          </c:val>
        </c:ser>
        <c:dLbls>
          <c:showLegendKey val="0"/>
          <c:showVal val="0"/>
          <c:showCatName val="0"/>
          <c:showSerName val="0"/>
          <c:showPercent val="0"/>
          <c:showBubbleSize val="0"/>
        </c:dLbls>
        <c:gapWidth val="219"/>
        <c:overlap val="-27"/>
        <c:axId val="322689176"/>
        <c:axId val="322689568"/>
      </c:barChart>
      <c:catAx>
        <c:axId val="32268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89568"/>
        <c:crosses val="autoZero"/>
        <c:auto val="1"/>
        <c:lblAlgn val="ctr"/>
        <c:lblOffset val="100"/>
        <c:noMultiLvlLbl val="0"/>
      </c:catAx>
      <c:valAx>
        <c:axId val="322689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89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Casualties from Special Services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55</c:v>
                </c:pt>
                <c:pt idx="1">
                  <c:v>67</c:v>
                </c:pt>
                <c:pt idx="2">
                  <c:v>59</c:v>
                </c:pt>
                <c:pt idx="3">
                  <c:v>116</c:v>
                </c:pt>
                <c:pt idx="4">
                  <c:v>90</c:v>
                </c:pt>
              </c:numCache>
            </c:numRef>
          </c:val>
        </c:ser>
        <c:dLbls>
          <c:showLegendKey val="0"/>
          <c:showVal val="0"/>
          <c:showCatName val="0"/>
          <c:showSerName val="0"/>
          <c:showPercent val="0"/>
          <c:showBubbleSize val="0"/>
        </c:dLbls>
        <c:gapWidth val="219"/>
        <c:overlap val="-27"/>
        <c:axId val="322738536"/>
        <c:axId val="322738928"/>
      </c:barChart>
      <c:catAx>
        <c:axId val="32273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738928"/>
        <c:crosses val="autoZero"/>
        <c:auto val="1"/>
        <c:lblAlgn val="ctr"/>
        <c:lblOffset val="100"/>
        <c:noMultiLvlLbl val="0"/>
      </c:catAx>
      <c:valAx>
        <c:axId val="32273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738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Non-Fire Emergency Fatalities and Casualties</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Fatalities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241545893719805E-2"/>
                  <c:y val="-8.77914951989026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8.2304526748971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5</c:v>
                </c:pt>
                <c:pt idx="1">
                  <c:v>5</c:v>
                </c:pt>
                <c:pt idx="2">
                  <c:v>5</c:v>
                </c:pt>
                <c:pt idx="3">
                  <c:v>14</c:v>
                </c:pt>
                <c:pt idx="4">
                  <c:v>9</c:v>
                </c:pt>
              </c:numCache>
            </c:numRef>
          </c:val>
          <c:smooth val="0"/>
        </c:ser>
        <c:ser>
          <c:idx val="1"/>
          <c:order val="1"/>
          <c:tx>
            <c:strRef>
              <c:f>Sheet1!$C$1</c:f>
              <c:strCache>
                <c:ptCount val="1"/>
                <c:pt idx="0">
                  <c:v>Casualties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41545893719805E-2"/>
                  <c:y val="-7.68175582990398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50</c:v>
                </c:pt>
                <c:pt idx="1">
                  <c:v>62</c:v>
                </c:pt>
                <c:pt idx="2">
                  <c:v>54</c:v>
                </c:pt>
                <c:pt idx="3">
                  <c:v>102</c:v>
                </c:pt>
                <c:pt idx="4">
                  <c:v>81</c:v>
                </c:pt>
              </c:numCache>
            </c:numRef>
          </c:val>
          <c:smooth val="0"/>
        </c:ser>
        <c:dLbls>
          <c:showLegendKey val="0"/>
          <c:showVal val="0"/>
          <c:showCatName val="0"/>
          <c:showSerName val="0"/>
          <c:showPercent val="0"/>
          <c:showBubbleSize val="0"/>
        </c:dLbls>
        <c:marker val="1"/>
        <c:smooth val="0"/>
        <c:axId val="322739712"/>
        <c:axId val="321809536"/>
      </c:lineChart>
      <c:catAx>
        <c:axId val="32273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809536"/>
        <c:crosses val="autoZero"/>
        <c:auto val="1"/>
        <c:lblAlgn val="ctr"/>
        <c:lblOffset val="100"/>
        <c:noMultiLvlLbl val="0"/>
      </c:catAx>
      <c:valAx>
        <c:axId val="321809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739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Non0Fire Emrgency Casualties - Severity of Injury</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Hospital Serious Injury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294685990338161E-2"/>
                  <c:y val="-9.3278463648834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551127809531501E-2"/>
                  <c:y val="4.77277225592702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0942084016146E-2"/>
                  <c:y val="4.8932834215395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3740823640699736E-2"/>
                  <c:y val="5.32145776859859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8441317931705239E-3"/>
                  <c:y val="-3.616023406910201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Sheet1!$B$2:$B$6</c:f>
              <c:numCache>
                <c:formatCode>0%</c:formatCode>
                <c:ptCount val="5"/>
                <c:pt idx="0">
                  <c:v>0.47</c:v>
                </c:pt>
                <c:pt idx="1">
                  <c:v>0.28000000000000003</c:v>
                </c:pt>
                <c:pt idx="2">
                  <c:v>0.28999999999999998</c:v>
                </c:pt>
                <c:pt idx="3">
                  <c:v>0.23</c:v>
                </c:pt>
                <c:pt idx="4">
                  <c:v>0.22</c:v>
                </c:pt>
              </c:numCache>
            </c:numRef>
          </c:val>
          <c:smooth val="0"/>
        </c:ser>
        <c:ser>
          <c:idx val="1"/>
          <c:order val="1"/>
          <c:tx>
            <c:strRef>
              <c:f>Sheet1!$C$1</c:f>
              <c:strCache>
                <c:ptCount val="1"/>
                <c:pt idx="0">
                  <c:v>Hospital Slight Injury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2542667572644788E-2"/>
                  <c:y val="5.00484488619250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41545893719805E-2"/>
                  <c:y val="-7.68175582990398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Sheet1!$C$2:$C$6</c:f>
              <c:numCache>
                <c:formatCode>0%</c:formatCode>
                <c:ptCount val="5"/>
                <c:pt idx="0">
                  <c:v>0.35</c:v>
                </c:pt>
                <c:pt idx="1">
                  <c:v>0.43</c:v>
                </c:pt>
                <c:pt idx="2">
                  <c:v>0.49</c:v>
                </c:pt>
                <c:pt idx="3">
                  <c:v>0.52</c:v>
                </c:pt>
                <c:pt idx="4">
                  <c:v>0.48</c:v>
                </c:pt>
              </c:numCache>
            </c:numRef>
          </c:val>
          <c:smooth val="0"/>
        </c:ser>
        <c:ser>
          <c:idx val="2"/>
          <c:order val="2"/>
          <c:tx>
            <c:strRef>
              <c:f>Sheet1!$D$1</c:f>
              <c:strCache>
                <c:ptCount val="1"/>
                <c:pt idx="0">
                  <c:v>Fisrt Aid at Scene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4106280193236753E-2"/>
                  <c:y val="4.38957475994512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782608695652174E-2"/>
                  <c:y val="6.58436213991768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2367149758454E-2"/>
                  <c:y val="3.29218106995883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301184433164128E-3"/>
                  <c:y val="3.93442622950820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Sheet1!$D$2:$D$6</c:f>
              <c:numCache>
                <c:formatCode>0%</c:formatCode>
                <c:ptCount val="5"/>
                <c:pt idx="0">
                  <c:v>0.15</c:v>
                </c:pt>
                <c:pt idx="1">
                  <c:v>0.09</c:v>
                </c:pt>
                <c:pt idx="2">
                  <c:v>7.0000000000000007E-2</c:v>
                </c:pt>
                <c:pt idx="3">
                  <c:v>7.0000000000000007E-2</c:v>
                </c:pt>
                <c:pt idx="4">
                  <c:v>0.11</c:v>
                </c:pt>
              </c:numCache>
            </c:numRef>
          </c:val>
          <c:smooth val="0"/>
        </c:ser>
        <c:dLbls>
          <c:showLegendKey val="0"/>
          <c:showVal val="0"/>
          <c:showCatName val="0"/>
          <c:showSerName val="0"/>
          <c:showPercent val="0"/>
          <c:showBubbleSize val="0"/>
        </c:dLbls>
        <c:marker val="1"/>
        <c:smooth val="0"/>
        <c:axId val="321810712"/>
        <c:axId val="321811104"/>
      </c:lineChart>
      <c:catAx>
        <c:axId val="32181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811104"/>
        <c:crosses val="autoZero"/>
        <c:auto val="1"/>
        <c:lblAlgn val="ctr"/>
        <c:lblOffset val="100"/>
        <c:noMultiLvlLbl val="0"/>
      </c:catAx>
      <c:valAx>
        <c:axId val="321811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810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Unwanted Fire Alarm Signals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917</c:v>
                </c:pt>
                <c:pt idx="1">
                  <c:v>865</c:v>
                </c:pt>
                <c:pt idx="2">
                  <c:v>800</c:v>
                </c:pt>
                <c:pt idx="3">
                  <c:v>775</c:v>
                </c:pt>
                <c:pt idx="4">
                  <c:v>935</c:v>
                </c:pt>
              </c:numCache>
            </c:numRef>
          </c:val>
        </c:ser>
        <c:dLbls>
          <c:showLegendKey val="0"/>
          <c:showVal val="0"/>
          <c:showCatName val="0"/>
          <c:showSerName val="0"/>
          <c:showPercent val="0"/>
          <c:showBubbleSize val="0"/>
        </c:dLbls>
        <c:gapWidth val="219"/>
        <c:overlap val="-27"/>
        <c:axId val="322188424"/>
        <c:axId val="322188816"/>
      </c:barChart>
      <c:catAx>
        <c:axId val="322188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8816"/>
        <c:crosses val="autoZero"/>
        <c:auto val="1"/>
        <c:lblAlgn val="ctr"/>
        <c:lblOffset val="100"/>
        <c:noMultiLvlLbl val="0"/>
      </c:catAx>
      <c:valAx>
        <c:axId val="32218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8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a:solidFill>
                  <a:schemeClr val="tx1"/>
                </a:solidFill>
                <a:latin typeface="Arial" panose="020B0604020202020204" pitchFamily="34" charset="0"/>
                <a:cs typeface="Arial" panose="020B0604020202020204" pitchFamily="34" charset="0"/>
              </a:rPr>
              <a:t>False Alarm by Type of Incident</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Malicious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478592237825941"/>
                  <c:y val="-4.2153760687889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987156244644725E-2"/>
                  <c:y val="-4.6891655797626525E-2"/>
                </c:manualLayout>
              </c:layout>
              <c:showLegendKey val="0"/>
              <c:showVal val="1"/>
              <c:showCatName val="0"/>
              <c:showSerName val="0"/>
              <c:showPercent val="0"/>
              <c:showBubbleSize val="0"/>
              <c:extLst>
                <c:ext xmlns:c15="http://schemas.microsoft.com/office/drawing/2012/chart" uri="{CE6537A1-D6FC-4f65-9D91-7224C49458BB}">
                  <c15:layout>
                    <c:manualLayout>
                      <c:w val="7.7869235417737728E-2"/>
                      <c:h val="7.1498156288746104E-2"/>
                    </c:manualLayout>
                  </c15:layout>
                </c:ext>
              </c:extLst>
            </c:dLbl>
            <c:dLbl>
              <c:idx val="2"/>
              <c:layout>
                <c:manualLayout>
                  <c:x val="-5.7971155667397245E-2"/>
                  <c:y val="-4.50191617152150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971155667397328E-2"/>
                  <c:y val="-4.6517076469735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598713820566245E-2"/>
                  <c:y val="-3.629212759448022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0.01</c:v>
                </c:pt>
                <c:pt idx="1">
                  <c:v>0.04</c:v>
                </c:pt>
                <c:pt idx="2">
                  <c:v>0.01</c:v>
                </c:pt>
                <c:pt idx="3">
                  <c:v>0.02</c:v>
                </c:pt>
                <c:pt idx="4">
                  <c:v>0.02</c:v>
                </c:pt>
              </c:numCache>
            </c:numRef>
          </c:val>
          <c:smooth val="0"/>
        </c:ser>
        <c:ser>
          <c:idx val="1"/>
          <c:order val="1"/>
          <c:tx>
            <c:strRef>
              <c:f>Sheet1!$C$1</c:f>
              <c:strCache>
                <c:ptCount val="1"/>
                <c:pt idx="0">
                  <c:v>Good Intent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0241545893719805E-2"/>
                  <c:y val="-5.48696844993142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41545893719805E-2"/>
                  <c:y val="-7.68175582990398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0.16</c:v>
                </c:pt>
                <c:pt idx="1">
                  <c:v>0.18</c:v>
                </c:pt>
                <c:pt idx="2">
                  <c:v>0.17</c:v>
                </c:pt>
                <c:pt idx="3">
                  <c:v>0.18</c:v>
                </c:pt>
                <c:pt idx="4">
                  <c:v>0.24</c:v>
                </c:pt>
              </c:numCache>
            </c:numRef>
          </c:val>
          <c:smooth val="0"/>
        </c:ser>
        <c:ser>
          <c:idx val="2"/>
          <c:order val="2"/>
          <c:tx>
            <c:strRef>
              <c:f>Sheet1!$D$1</c:f>
              <c:strCache>
                <c:ptCount val="1"/>
                <c:pt idx="0">
                  <c:v>Equipment Failure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8728522336769779E-2"/>
                  <c:y val="5.24590163934426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728522336769765E-2"/>
                  <c:y val="5.68306010928962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31042382588783E-2"/>
                  <c:y val="5.24590163934426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8728522336769765E-2"/>
                  <c:y val="6.5573770491803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474226804123876E-2"/>
                  <c:y val="6.55737704918032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Sheet1!$D$2:$D$6</c:f>
              <c:numCache>
                <c:formatCode>0%</c:formatCode>
                <c:ptCount val="5"/>
                <c:pt idx="0">
                  <c:v>0.83</c:v>
                </c:pt>
                <c:pt idx="1">
                  <c:v>0.78</c:v>
                </c:pt>
                <c:pt idx="2">
                  <c:v>0.82</c:v>
                </c:pt>
                <c:pt idx="3">
                  <c:v>0.8</c:v>
                </c:pt>
                <c:pt idx="4">
                  <c:v>0.74</c:v>
                </c:pt>
              </c:numCache>
            </c:numRef>
          </c:val>
          <c:smooth val="0"/>
        </c:ser>
        <c:dLbls>
          <c:showLegendKey val="0"/>
          <c:showVal val="0"/>
          <c:showCatName val="0"/>
          <c:showSerName val="0"/>
          <c:showPercent val="0"/>
          <c:showBubbleSize val="0"/>
        </c:dLbls>
        <c:marker val="1"/>
        <c:smooth val="0"/>
        <c:axId val="322189600"/>
        <c:axId val="322189992"/>
      </c:lineChart>
      <c:catAx>
        <c:axId val="3221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9992"/>
        <c:crosses val="autoZero"/>
        <c:auto val="1"/>
        <c:lblAlgn val="ctr"/>
        <c:lblOffset val="100"/>
        <c:noMultiLvlLbl val="0"/>
      </c:catAx>
      <c:valAx>
        <c:axId val="322189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a:solidFill>
                  <a:schemeClr val="tx1"/>
                </a:solidFill>
                <a:latin typeface="Arial" panose="020B0604020202020204" pitchFamily="34" charset="0"/>
                <a:cs typeface="Arial" panose="020B0604020202020204" pitchFamily="34" charset="0"/>
              </a:rPr>
              <a:t>Unwanted Fire Alarm Signal Incidents</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All False Alarms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294685990338161E-2"/>
                  <c:y val="-9.3278463648834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41545893719805E-2"/>
                  <c:y val="-8.77914951989026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971014492753624E-2"/>
                  <c:y val="-8.2304526748971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917</c:v>
                </c:pt>
                <c:pt idx="1">
                  <c:v>865</c:v>
                </c:pt>
                <c:pt idx="2">
                  <c:v>800</c:v>
                </c:pt>
                <c:pt idx="3">
                  <c:v>775</c:v>
                </c:pt>
                <c:pt idx="4">
                  <c:v>935</c:v>
                </c:pt>
              </c:numCache>
            </c:numRef>
          </c:val>
          <c:smooth val="0"/>
        </c:ser>
        <c:ser>
          <c:idx val="1"/>
          <c:order val="1"/>
          <c:tx>
            <c:strRef>
              <c:f>Sheet1!$C$1</c:f>
              <c:strCache>
                <c:ptCount val="1"/>
                <c:pt idx="0">
                  <c:v>UFAS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0241545893719805E-2"/>
                  <c:y val="-5.48696844993142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41545893719805E-2"/>
                  <c:y val="-7.68175582990398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556</c:v>
                </c:pt>
                <c:pt idx="1">
                  <c:v>485</c:v>
                </c:pt>
                <c:pt idx="2">
                  <c:v>434</c:v>
                </c:pt>
                <c:pt idx="3">
                  <c:v>428</c:v>
                </c:pt>
                <c:pt idx="4">
                  <c:v>465</c:v>
                </c:pt>
              </c:numCache>
            </c:numRef>
          </c:val>
          <c:smooth val="0"/>
        </c:ser>
        <c:dLbls>
          <c:showLegendKey val="0"/>
          <c:showVal val="0"/>
          <c:showCatName val="0"/>
          <c:showSerName val="0"/>
          <c:showPercent val="0"/>
          <c:showBubbleSize val="0"/>
        </c:dLbls>
        <c:marker val="1"/>
        <c:smooth val="0"/>
        <c:axId val="315483872"/>
        <c:axId val="315484264"/>
      </c:lineChart>
      <c:catAx>
        <c:axId val="3154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84264"/>
        <c:crosses val="autoZero"/>
        <c:auto val="1"/>
        <c:lblAlgn val="ctr"/>
        <c:lblOffset val="100"/>
        <c:noMultiLvlLbl val="0"/>
      </c:catAx>
      <c:valAx>
        <c:axId val="315484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83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2012-2017</c:v>
                </c:pt>
              </c:strCache>
            </c:strRef>
          </c:tx>
          <c:spPr>
            <a:ln w="3175"/>
          </c:spPr>
          <c:dPt>
            <c:idx val="0"/>
            <c:bubble3D val="0"/>
            <c:spPr>
              <a:solidFill>
                <a:schemeClr val="accent1">
                  <a:lumMod val="60000"/>
                  <a:lumOff val="40000"/>
                </a:schemeClr>
              </a:solidFill>
              <a:ln w="3175">
                <a:solidFill>
                  <a:schemeClr val="lt1"/>
                </a:solidFill>
              </a:ln>
              <a:effectLst/>
            </c:spPr>
          </c:dPt>
          <c:dPt>
            <c:idx val="1"/>
            <c:bubble3D val="0"/>
            <c:spPr>
              <a:solidFill>
                <a:schemeClr val="accent2"/>
              </a:solidFill>
              <a:ln w="3175">
                <a:solidFill>
                  <a:schemeClr val="lt1"/>
                </a:solidFill>
              </a:ln>
              <a:effectLst/>
            </c:spPr>
          </c:dPt>
          <c:dPt>
            <c:idx val="2"/>
            <c:bubble3D val="0"/>
            <c:spPr>
              <a:solidFill>
                <a:schemeClr val="accent3"/>
              </a:solidFill>
              <a:ln w="3175">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Fires</c:v>
                </c:pt>
                <c:pt idx="1">
                  <c:v>Non-Fire Emergencies</c:v>
                </c:pt>
                <c:pt idx="2">
                  <c:v>False Alarms</c:v>
                </c:pt>
              </c:strCache>
            </c:strRef>
          </c:cat>
          <c:val>
            <c:numRef>
              <c:f>Sheet1!$B$2:$B$4</c:f>
              <c:numCache>
                <c:formatCode>0%</c:formatCode>
                <c:ptCount val="3"/>
                <c:pt idx="0">
                  <c:v>0.25</c:v>
                </c:pt>
                <c:pt idx="1">
                  <c:v>0.15</c:v>
                </c:pt>
                <c:pt idx="2">
                  <c:v>0.6</c:v>
                </c:pt>
              </c:numCache>
            </c:numRef>
          </c:val>
        </c:ser>
        <c:ser>
          <c:idx val="1"/>
          <c:order val="1"/>
          <c:tx>
            <c:strRef>
              <c:f>Sheet1!$C$1</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Fires</c:v>
                </c:pt>
                <c:pt idx="1">
                  <c:v>Non-Fire Emergencies</c:v>
                </c:pt>
                <c:pt idx="2">
                  <c:v>False Alarms</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Accidental Dwelling Fires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55</c:v>
                </c:pt>
                <c:pt idx="1">
                  <c:v>66</c:v>
                </c:pt>
                <c:pt idx="2">
                  <c:v>83</c:v>
                </c:pt>
                <c:pt idx="3">
                  <c:v>107</c:v>
                </c:pt>
                <c:pt idx="4">
                  <c:v>75</c:v>
                </c:pt>
              </c:numCache>
            </c:numRef>
          </c:val>
        </c:ser>
        <c:dLbls>
          <c:showLegendKey val="0"/>
          <c:showVal val="0"/>
          <c:showCatName val="0"/>
          <c:showSerName val="0"/>
          <c:showPercent val="0"/>
          <c:showBubbleSize val="0"/>
        </c:dLbls>
        <c:gapWidth val="219"/>
        <c:overlap val="-27"/>
        <c:axId val="317118608"/>
        <c:axId val="317119000"/>
      </c:barChart>
      <c:catAx>
        <c:axId val="31711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119000"/>
        <c:crosses val="autoZero"/>
        <c:auto val="1"/>
        <c:lblAlgn val="ctr"/>
        <c:lblOffset val="100"/>
        <c:noMultiLvlLbl val="0"/>
      </c:catAx>
      <c:valAx>
        <c:axId val="31711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11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a:solidFill>
                  <a:schemeClr val="tx1"/>
                </a:solidFill>
                <a:latin typeface="Arial" panose="020B0604020202020204" pitchFamily="34" charset="0"/>
                <a:cs typeface="Arial" panose="020B0604020202020204" pitchFamily="34" charset="0"/>
              </a:rPr>
              <a:t>Automatic</a:t>
            </a:r>
            <a:r>
              <a:rPr lang="en-GB" sz="1000" baseline="0">
                <a:solidFill>
                  <a:schemeClr val="tx1"/>
                </a:solidFill>
                <a:latin typeface="Arial" panose="020B0604020202020204" pitchFamily="34" charset="0"/>
                <a:cs typeface="Arial" panose="020B0604020202020204" pitchFamily="34" charset="0"/>
              </a:rPr>
              <a:t> Detection Effectiveness</a:t>
            </a:r>
            <a:endParaRPr lang="en-GB" sz="1000">
              <a:solidFill>
                <a:schemeClr val="tx1"/>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Alarm Present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241545893719805E-2"/>
                  <c:y val="-8.77914951989026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8.2304526748971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0.69</c:v>
                </c:pt>
                <c:pt idx="1">
                  <c:v>0.63</c:v>
                </c:pt>
                <c:pt idx="2">
                  <c:v>0.77</c:v>
                </c:pt>
                <c:pt idx="3">
                  <c:v>0.85</c:v>
                </c:pt>
                <c:pt idx="4">
                  <c:v>0.7</c:v>
                </c:pt>
              </c:numCache>
            </c:numRef>
          </c:val>
          <c:smooth val="0"/>
        </c:ser>
        <c:ser>
          <c:idx val="1"/>
          <c:order val="1"/>
          <c:tx>
            <c:strRef>
              <c:f>Sheet1!$C$1</c:f>
              <c:strCache>
                <c:ptCount val="1"/>
                <c:pt idx="0">
                  <c:v>Alarm Raised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0408782857366708E-2"/>
                  <c:y val="5.10396427719262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657826353795328E-2"/>
                  <c:y val="4.43944506936632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106149044802309E-2"/>
                  <c:y val="5.8539387122064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6783601676656164E-2"/>
                  <c:y val="3.78031155196509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0.6</c:v>
                </c:pt>
                <c:pt idx="1">
                  <c:v>0.56999999999999995</c:v>
                </c:pt>
                <c:pt idx="2">
                  <c:v>0.75</c:v>
                </c:pt>
                <c:pt idx="3">
                  <c:v>0.7</c:v>
                </c:pt>
                <c:pt idx="4">
                  <c:v>0.51</c:v>
                </c:pt>
              </c:numCache>
            </c:numRef>
          </c:val>
          <c:smooth val="0"/>
        </c:ser>
        <c:ser>
          <c:idx val="2"/>
          <c:order val="2"/>
          <c:tx>
            <c:strRef>
              <c:f>Sheet1!$D$1</c:f>
              <c:strCache>
                <c:ptCount val="1"/>
                <c:pt idx="0">
                  <c:v>Linked Alarms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4782608695652174E-2"/>
                  <c:y val="6.58436213991768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32367149758454E-2"/>
                  <c:y val="3.29218106995883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6334991708126109E-2"/>
                  <c:y val="6.06060606060606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Sheet1!$D$2:$D$6</c:f>
              <c:numCache>
                <c:formatCode>0%</c:formatCode>
                <c:ptCount val="5"/>
                <c:pt idx="0">
                  <c:v>0.26</c:v>
                </c:pt>
                <c:pt idx="1">
                  <c:v>0.21</c:v>
                </c:pt>
                <c:pt idx="2">
                  <c:v>0.33</c:v>
                </c:pt>
                <c:pt idx="3">
                  <c:v>0.51</c:v>
                </c:pt>
                <c:pt idx="4">
                  <c:v>0.24</c:v>
                </c:pt>
              </c:numCache>
            </c:numRef>
          </c:val>
          <c:smooth val="0"/>
        </c:ser>
        <c:dLbls>
          <c:showLegendKey val="0"/>
          <c:showVal val="0"/>
          <c:showCatName val="0"/>
          <c:showSerName val="0"/>
          <c:showPercent val="0"/>
          <c:showBubbleSize val="0"/>
        </c:dLbls>
        <c:marker val="1"/>
        <c:smooth val="0"/>
        <c:axId val="317119784"/>
        <c:axId val="317120176"/>
      </c:lineChart>
      <c:catAx>
        <c:axId val="31711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120176"/>
        <c:crosses val="autoZero"/>
        <c:auto val="1"/>
        <c:lblAlgn val="ctr"/>
        <c:lblOffset val="100"/>
        <c:noMultiLvlLbl val="0"/>
      </c:catAx>
      <c:valAx>
        <c:axId val="31712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119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a:solidFill>
                  <a:schemeClr val="tx1"/>
                </a:solidFill>
                <a:latin typeface="Arial" panose="020B0604020202020204" pitchFamily="34" charset="0"/>
                <a:cs typeface="Arial" panose="020B0604020202020204" pitchFamily="34" charset="0"/>
              </a:rPr>
              <a:t>Damage By Fire</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None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241691424455871E-2"/>
                  <c:y val="4.6407608139891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0969328042438E-2"/>
                  <c:y val="4.32365272522752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0.35</c:v>
                </c:pt>
                <c:pt idx="1">
                  <c:v>0.42</c:v>
                </c:pt>
                <c:pt idx="2">
                  <c:v>0.35</c:v>
                </c:pt>
                <c:pt idx="3">
                  <c:v>0.49</c:v>
                </c:pt>
                <c:pt idx="4">
                  <c:v>0.41</c:v>
                </c:pt>
              </c:numCache>
            </c:numRef>
          </c:val>
          <c:smooth val="0"/>
        </c:ser>
        <c:ser>
          <c:idx val="1"/>
          <c:order val="1"/>
          <c:tx>
            <c:strRef>
              <c:f>Sheet1!$C$1</c:f>
              <c:strCache>
                <c:ptCount val="1"/>
                <c:pt idx="0">
                  <c:v>Up to 5m2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434303561659008E-2"/>
                  <c:y val="5.3052459351671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83574879227053E-2"/>
                  <c:y val="-7.1330589849108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237550121538238E-2"/>
                  <c:y val="5.079012850666397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0.42</c:v>
                </c:pt>
                <c:pt idx="1">
                  <c:v>0.39</c:v>
                </c:pt>
                <c:pt idx="2">
                  <c:v>0.43</c:v>
                </c:pt>
                <c:pt idx="3">
                  <c:v>0.47</c:v>
                </c:pt>
                <c:pt idx="4">
                  <c:v>0.51</c:v>
                </c:pt>
              </c:numCache>
            </c:numRef>
          </c:val>
          <c:smooth val="0"/>
        </c:ser>
        <c:ser>
          <c:idx val="2"/>
          <c:order val="2"/>
          <c:tx>
            <c:strRef>
              <c:f>Sheet1!$D$1</c:f>
              <c:strCache>
                <c:ptCount val="1"/>
                <c:pt idx="0">
                  <c:v>Over 5 m2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4782608695652174E-2"/>
                  <c:y val="6.58436213991768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298914812429483E-2"/>
                  <c:y val="4.59089204758496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553210202286718E-2"/>
                  <c:y val="5.6277056277056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385224274406413E-2"/>
                  <c:y val="-5.194805194805202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Sheet1!$D$2:$D$6</c:f>
              <c:numCache>
                <c:formatCode>0%</c:formatCode>
                <c:ptCount val="5"/>
                <c:pt idx="0">
                  <c:v>0.23</c:v>
                </c:pt>
                <c:pt idx="1">
                  <c:v>0.19</c:v>
                </c:pt>
                <c:pt idx="2">
                  <c:v>0.22</c:v>
                </c:pt>
                <c:pt idx="3">
                  <c:v>0.04</c:v>
                </c:pt>
                <c:pt idx="4">
                  <c:v>0.08</c:v>
                </c:pt>
              </c:numCache>
            </c:numRef>
          </c:val>
          <c:smooth val="0"/>
        </c:ser>
        <c:dLbls>
          <c:showLegendKey val="0"/>
          <c:showVal val="0"/>
          <c:showCatName val="0"/>
          <c:showSerName val="0"/>
          <c:showPercent val="0"/>
          <c:showBubbleSize val="0"/>
        </c:dLbls>
        <c:marker val="1"/>
        <c:smooth val="0"/>
        <c:axId val="317087896"/>
        <c:axId val="317088288"/>
      </c:lineChart>
      <c:catAx>
        <c:axId val="31708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088288"/>
        <c:crosses val="autoZero"/>
        <c:auto val="1"/>
        <c:lblAlgn val="ctr"/>
        <c:lblOffset val="100"/>
        <c:noMultiLvlLbl val="0"/>
      </c:catAx>
      <c:valAx>
        <c:axId val="317088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087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solidFill>
                <a:latin typeface="Arial" panose="020B0604020202020204" pitchFamily="34" charset="0"/>
                <a:cs typeface="Arial" panose="020B0604020202020204" pitchFamily="34" charset="0"/>
              </a:rPr>
              <a:t>Fire Casualties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Fire Casualties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7</c:v>
                </c:pt>
                <c:pt idx="1">
                  <c:v>13</c:v>
                </c:pt>
                <c:pt idx="2">
                  <c:v>10</c:v>
                </c:pt>
                <c:pt idx="3">
                  <c:v>15</c:v>
                </c:pt>
                <c:pt idx="4">
                  <c:v>13</c:v>
                </c:pt>
              </c:numCache>
            </c:numRef>
          </c:val>
        </c:ser>
        <c:ser>
          <c:idx val="1"/>
          <c:order val="1"/>
          <c:tx>
            <c:strRef>
              <c:f>Sheet1!$C$1</c:f>
              <c:strCache>
                <c:ptCount val="1"/>
                <c:pt idx="0">
                  <c:v>Attended Hospital </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Sheet1!$C$2:$C$6</c:f>
              <c:numCache>
                <c:formatCode>General</c:formatCode>
                <c:ptCount val="5"/>
                <c:pt idx="0">
                  <c:v>2</c:v>
                </c:pt>
                <c:pt idx="1">
                  <c:v>10</c:v>
                </c:pt>
                <c:pt idx="2">
                  <c:v>3</c:v>
                </c:pt>
                <c:pt idx="3">
                  <c:v>8</c:v>
                </c:pt>
                <c:pt idx="4">
                  <c:v>8</c:v>
                </c:pt>
              </c:numCache>
            </c:numRef>
          </c:val>
        </c:ser>
        <c:dLbls>
          <c:showLegendKey val="0"/>
          <c:showVal val="0"/>
          <c:showCatName val="0"/>
          <c:showSerName val="0"/>
          <c:showPercent val="0"/>
          <c:showBubbleSize val="0"/>
        </c:dLbls>
        <c:gapWidth val="219"/>
        <c:overlap val="-27"/>
        <c:axId val="317089072"/>
        <c:axId val="316619592"/>
      </c:barChart>
      <c:catAx>
        <c:axId val="31708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619592"/>
        <c:crosses val="autoZero"/>
        <c:auto val="1"/>
        <c:lblAlgn val="ctr"/>
        <c:lblOffset val="100"/>
        <c:noMultiLvlLbl val="0"/>
      </c:catAx>
      <c:valAx>
        <c:axId val="31661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089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Severity of all Fire Casualty Injuries</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Hospital Serious Injury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186467784892983"/>
                  <c:y val="-7.44461497397571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7096545364261896E-2"/>
                  <c:y val="5.34513694262793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3876066474491668E-2"/>
                  <c:y val="5.89383424529560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885810649590178E-2"/>
                  <c:y val="4.95221465960821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Sheet1!$B$2:$B$6</c:f>
              <c:numCache>
                <c:formatCode>0%</c:formatCode>
                <c:ptCount val="5"/>
                <c:pt idx="0">
                  <c:v>0.14000000000000001</c:v>
                </c:pt>
                <c:pt idx="1">
                  <c:v>0.15</c:v>
                </c:pt>
                <c:pt idx="2">
                  <c:v>0</c:v>
                </c:pt>
                <c:pt idx="3">
                  <c:v>0.13</c:v>
                </c:pt>
                <c:pt idx="4">
                  <c:v>0.15</c:v>
                </c:pt>
              </c:numCache>
            </c:numRef>
          </c:val>
          <c:smooth val="0"/>
        </c:ser>
        <c:ser>
          <c:idx val="1"/>
          <c:order val="1"/>
          <c:tx>
            <c:strRef>
              <c:f>Sheet1!$C$1</c:f>
              <c:strCache>
                <c:ptCount val="1"/>
                <c:pt idx="0">
                  <c:v>Hospital Slight Injury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2526520794237345E-2"/>
                  <c:y val="4.87084241588445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14492753624E-2"/>
                  <c:y val="-6.5843621399177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38647165418819E-2"/>
                  <c:y val="3.61767279090112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550839314618844E-2"/>
                  <c:y val="5.10798967925619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Sheet1!$C$2:$C$6</c:f>
              <c:numCache>
                <c:formatCode>0%</c:formatCode>
                <c:ptCount val="5"/>
                <c:pt idx="0">
                  <c:v>0.14000000000000001</c:v>
                </c:pt>
                <c:pt idx="1">
                  <c:v>0.62</c:v>
                </c:pt>
                <c:pt idx="2">
                  <c:v>0.3</c:v>
                </c:pt>
                <c:pt idx="3">
                  <c:v>0.4</c:v>
                </c:pt>
                <c:pt idx="4">
                  <c:v>0.46</c:v>
                </c:pt>
              </c:numCache>
            </c:numRef>
          </c:val>
          <c:smooth val="0"/>
        </c:ser>
        <c:ser>
          <c:idx val="2"/>
          <c:order val="2"/>
          <c:tx>
            <c:strRef>
              <c:f>Sheet1!$D$1</c:f>
              <c:strCache>
                <c:ptCount val="1"/>
                <c:pt idx="0">
                  <c:v>Fisrt Aid at Scene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5056330489401361E-2"/>
                  <c:y val="4.3895784213414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226740699181645E-3"/>
                  <c:y val="-6.969467799575901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228578614405386E-2"/>
                  <c:y val="-2.35753369811824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1900081900081901E-3"/>
                  <c:y val="-4.708097928436915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2016/17</c:v>
                </c:pt>
              </c:strCache>
            </c:strRef>
          </c:cat>
          <c:val>
            <c:numRef>
              <c:f>Sheet1!$D$2:$D$6</c:f>
              <c:numCache>
                <c:formatCode>0%</c:formatCode>
                <c:ptCount val="5"/>
                <c:pt idx="0">
                  <c:v>0.72</c:v>
                </c:pt>
                <c:pt idx="1">
                  <c:v>0.23</c:v>
                </c:pt>
                <c:pt idx="2">
                  <c:v>0.7</c:v>
                </c:pt>
                <c:pt idx="3">
                  <c:v>0.47</c:v>
                </c:pt>
                <c:pt idx="4">
                  <c:v>0.39</c:v>
                </c:pt>
              </c:numCache>
            </c:numRef>
          </c:val>
          <c:smooth val="0"/>
        </c:ser>
        <c:dLbls>
          <c:showLegendKey val="0"/>
          <c:showVal val="0"/>
          <c:showCatName val="0"/>
          <c:showSerName val="0"/>
          <c:showPercent val="0"/>
          <c:showBubbleSize val="0"/>
        </c:dLbls>
        <c:marker val="1"/>
        <c:smooth val="0"/>
        <c:axId val="316620376"/>
        <c:axId val="316620768"/>
      </c:lineChart>
      <c:catAx>
        <c:axId val="31662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620768"/>
        <c:crosses val="autoZero"/>
        <c:auto val="1"/>
        <c:lblAlgn val="ctr"/>
        <c:lblOffset val="100"/>
        <c:noMultiLvlLbl val="0"/>
      </c:catAx>
      <c:valAx>
        <c:axId val="31662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620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Severity of Fire Casualty Injuries</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80356803225683"/>
          <c:y val="0.19802469135802472"/>
          <c:w val="0.82236068317547262"/>
          <c:h val="0.54368512577903072"/>
        </c:manualLayout>
      </c:layout>
      <c:lineChart>
        <c:grouping val="standard"/>
        <c:varyColors val="0"/>
        <c:ser>
          <c:idx val="0"/>
          <c:order val="0"/>
          <c:tx>
            <c:strRef>
              <c:f>Sheet1!$B$1</c:f>
              <c:strCache>
                <c:ptCount val="1"/>
                <c:pt idx="0">
                  <c:v>Casuatlies from ADF's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294685990338161E-2"/>
                  <c:y val="-9.3278463648834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41545893719805E-2"/>
                  <c:y val="-8.77914951989026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971014492753624E-2"/>
                  <c:y val="-6.0356652949245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971014492753624E-2"/>
                  <c:y val="-8.2304526748971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183574879227053E-2"/>
                  <c:y val="-8.23045267489712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Sheet1!$B$2:$B$6</c:f>
              <c:numCache>
                <c:formatCode>0%</c:formatCode>
                <c:ptCount val="5"/>
                <c:pt idx="0">
                  <c:v>0.71</c:v>
                </c:pt>
                <c:pt idx="1">
                  <c:v>0.46</c:v>
                </c:pt>
                <c:pt idx="2">
                  <c:v>0.6</c:v>
                </c:pt>
                <c:pt idx="3">
                  <c:v>0.53</c:v>
                </c:pt>
                <c:pt idx="4">
                  <c:v>0.69</c:v>
                </c:pt>
              </c:numCache>
            </c:numRef>
          </c:val>
          <c:smooth val="0"/>
        </c:ser>
        <c:ser>
          <c:idx val="1"/>
          <c:order val="1"/>
          <c:tx>
            <c:strRef>
              <c:f>Sheet1!$C$1</c:f>
              <c:strCache>
                <c:ptCount val="1"/>
                <c:pt idx="0">
                  <c:v>Casualties from Kitchen Fires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0241545893719805E-2"/>
                  <c:y val="-5.48696844993142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859842519685034E-2"/>
                  <c:y val="5.28647060143122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41469816273046E-2"/>
                  <c:y val="8.46258533922575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8502537182852225E-2"/>
                  <c:y val="5.68746214415505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47342995169081E-3"/>
                  <c:y val="-5.48696844993146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2012/13</c:v>
                </c:pt>
                <c:pt idx="1">
                  <c:v>2013/14</c:v>
                </c:pt>
                <c:pt idx="2">
                  <c:v>2014/15</c:v>
                </c:pt>
                <c:pt idx="3">
                  <c:v>2015/16</c:v>
                </c:pt>
                <c:pt idx="4">
                  <c:v>2015/16</c:v>
                </c:pt>
              </c:strCache>
            </c:strRef>
          </c:cat>
          <c:val>
            <c:numRef>
              <c:f>Sheet1!$C$2:$C$6</c:f>
              <c:numCache>
                <c:formatCode>0%</c:formatCode>
                <c:ptCount val="5"/>
                <c:pt idx="0">
                  <c:v>0.43</c:v>
                </c:pt>
                <c:pt idx="1">
                  <c:v>0.23</c:v>
                </c:pt>
                <c:pt idx="2">
                  <c:v>0.5</c:v>
                </c:pt>
                <c:pt idx="3">
                  <c:v>0.4</c:v>
                </c:pt>
                <c:pt idx="4">
                  <c:v>0.46</c:v>
                </c:pt>
              </c:numCache>
            </c:numRef>
          </c:val>
          <c:smooth val="0"/>
        </c:ser>
        <c:dLbls>
          <c:showLegendKey val="0"/>
          <c:showVal val="0"/>
          <c:showCatName val="0"/>
          <c:showSerName val="0"/>
          <c:showPercent val="0"/>
          <c:showBubbleSize val="0"/>
        </c:dLbls>
        <c:marker val="1"/>
        <c:smooth val="0"/>
        <c:axId val="317556520"/>
        <c:axId val="317556912"/>
      </c:lineChart>
      <c:catAx>
        <c:axId val="31755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56912"/>
        <c:crosses val="autoZero"/>
        <c:auto val="1"/>
        <c:lblAlgn val="ctr"/>
        <c:lblOffset val="100"/>
        <c:noMultiLvlLbl val="0"/>
      </c:catAx>
      <c:valAx>
        <c:axId val="317556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56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Deliberate Fires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120</c:v>
                </c:pt>
                <c:pt idx="1">
                  <c:v>114</c:v>
                </c:pt>
                <c:pt idx="2">
                  <c:v>99</c:v>
                </c:pt>
                <c:pt idx="3">
                  <c:v>199</c:v>
                </c:pt>
                <c:pt idx="4">
                  <c:v>183</c:v>
                </c:pt>
              </c:numCache>
            </c:numRef>
          </c:val>
        </c:ser>
        <c:dLbls>
          <c:showLegendKey val="0"/>
          <c:showVal val="0"/>
          <c:showCatName val="0"/>
          <c:showSerName val="0"/>
          <c:showPercent val="0"/>
          <c:showBubbleSize val="0"/>
        </c:dLbls>
        <c:gapWidth val="219"/>
        <c:overlap val="-27"/>
        <c:axId val="317557696"/>
        <c:axId val="317558088"/>
      </c:barChart>
      <c:catAx>
        <c:axId val="31755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58088"/>
        <c:crosses val="autoZero"/>
        <c:auto val="1"/>
        <c:lblAlgn val="ctr"/>
        <c:lblOffset val="100"/>
        <c:noMultiLvlLbl val="0"/>
      </c:catAx>
      <c:valAx>
        <c:axId val="317558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57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076B7759BA0469F3445F087B6A385" ma:contentTypeVersion="0" ma:contentTypeDescription="Create a new document." ma:contentTypeScope="" ma:versionID="5679f876b7fdc5088ca014644deab4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C724-EAE3-4B36-ABD9-47BCF96FD941}">
  <ds:schemaRefs>
    <ds:schemaRef ds:uri="http://schemas.microsoft.com/sharepoint/v3/contenttype/forms"/>
  </ds:schemaRefs>
</ds:datastoreItem>
</file>

<file path=customXml/itemProps2.xml><?xml version="1.0" encoding="utf-8"?>
<ds:datastoreItem xmlns:ds="http://schemas.openxmlformats.org/officeDocument/2006/customXml" ds:itemID="{D6383B02-B1F8-4BFC-95D0-73DDAA191C9C}">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D7749C-11F3-4571-A815-9810B8B3A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48360F-C0E0-4329-9D66-7AFBCC87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2830</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SFRS</Company>
  <LinksUpToDate>false</LinksUpToDate>
  <CharactersWithSpaces>18349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alison.hastings</dc:creator>
  <cp:lastModifiedBy>Hastings, Alison</cp:lastModifiedBy>
  <cp:revision>5</cp:revision>
  <cp:lastPrinted>2017-09-28T16:04:00Z</cp:lastPrinted>
  <dcterms:created xsi:type="dcterms:W3CDTF">2017-09-28T16:00:00Z</dcterms:created>
  <dcterms:modified xsi:type="dcterms:W3CDTF">2017-09-29T10:01:00Z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0x0101009C9076B7759BA0469F3445F087B6A385</vt:lpwstr>
  </property>
</Properties>
</file>